
<file path=[Content_Types].xml><?xml version="1.0" encoding="utf-8"?>
<Types xmlns="http://schemas.openxmlformats.org/package/2006/content-types">
  <Default Extension="jpg" ContentType="image/jpeg"/>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background w:color="FFFFFF" w:themeColor="background1"/>
  <w:body>
    <w:p>
      <w:pPr>
        <w:spacing w:after="0" w:line="240" w:lineRule="auto"/>
      </w:pPr>
      <w: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201" name="Cover" descr="Research Automators"/>
            <wp:cNvGraphicFramePr/>
            <a:graphic xmlns:a="http://schemas.openxmlformats.org/drawingml/2006/main">
              <a:graphicData uri="http://schemas.openxmlformats.org/drawingml/2006/picture">
                <pic:pic xmlns:pic="http://schemas.openxmlformats.org/drawingml/2006/picture">
                  <pic:nvPicPr>
                    <pic:cNvPr id="201" name="cover.jpg"/>
                    <pic:cNvPicPr/>
                  </pic:nvPicPr>
                  <pic:blipFill>
                    <a:blip r:embed="rIdCoverWeb"/>
                    <a:stretch>
                      <a:fillRect/>
                    </a:stretch>
                  </pic:blipFill>
                  <pic:spPr>
                    <a:xfrm>
                      <a:off x="0" y="0"/>
                      <a:ext cx="7560000" cy="10692000"/>
                    </a:xfrm>
                    <a:prstGeom prst="rect">
                      <a:avLst/>
                    </a:prstGeom>
                  </pic:spPr>
                </pic:pic>
              </a:graphicData>
            </a:graphic>
          </wp:anchor>
        </w:drawing>
      </w:r>
      <w:r>
        <w:rPr>
          <w:rFonts w:ascii="Plus Jakarta Sans SemiBold" w:hAnsi="Plus Jakarta Sans SemiBold"/>
          <w:color w:val="FFFFFF"/>
          <w:spacing w:val="-22"/>
          <w:sz w:val="88"/>
          <w:szCs w:val="100"/>
          <w:lang w:val="sv-SE"/>
        </w:rPr>
        <w:t>Automatic Email Sendouts and Reminders in Survey Automator</w:t>
      </w:r>
    </w:p>
    <w:p>
      <w:pPr>
        <w:spacing w:before="340" w:after="0" w:line="264" w:lineRule="auto"/>
      </w:pPr>
      <w:r>
        <w:rPr>
          <w:color w:val="A9A7C2"/>
          <w:sz w:val="28"/>
          <w:szCs w:val="28"/>
          <w:lang w:val="sv-SE"/>
        </w:rPr>
        <w:t>Survey Automator guide</w:t>
      </w:r>
    </w:p>
    <w:p>
      <w:pPr>
        <w:spacing w:after="0"/>
        <w:sectPr>
          <w:pgSz w:w="11909" w:h="16834" w:code="9"/>
          <w:pgMar w:top="8959" w:right="1588" w:bottom="1134" w:left="1247" w:header="0" w:footer="0" w:gutter="0"/>
          <w:cols w:space="720"/>
          <w:docGrid w:linePitch="360"/>
        </w:sectPr>
      </w:pPr>
    </w:p>
    <w:p>
      <w:pPr>
        <w:spacing w:after="280"/>
      </w:pPr>
      <w:r>
        <w:drawing>
          <wp:inline distT="0" distB="0" distL="0" distR="0">
            <wp:extent cx="647700" cy="57150"/>
            <wp:effectExtent t="0" r="0" b="0" l="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47700" cy="57150"/>
                    </a:xfrm>
                    <a:prstGeom prst="rect">
                      <a:avLst/>
                    </a:prstGeom>
                  </pic:spPr>
                </pic:pic>
              </a:graphicData>
            </a:graphic>
          </wp:inline>
        </w:drawing>
      </w:r>
    </w:p>
    <w:p>
      <w:pPr>
        <w:pStyle w:val="Heading1"/>
      </w:pPr>
      <w:r>
        <w:rPr>
          <w:sz w:val="64"/>
          <w:szCs w:val="64"/>
        </w:rPr>
        <w:t xml:space="preserve">Automatic Email Sendouts and Reminders in Survey Automator</w:t>
      </w:r>
    </w:p>
    <w:p>
      <w:pPr>
        <w:spacing w:after="480" w:before="60"/>
      </w:pPr>
      <w:r>
        <w:rPr>
          <w:rFonts w:ascii="Plus Jakarta Sans SemiBold" w:cs="Plus Jakarta Sans SemiBold" w:eastAsia="Plus Jakarta Sans SemiBold" w:hAnsi="Plus Jakarta Sans SemiBold"/>
          <w:caps/>
          <w:color w:val="4737FF"/>
          <w:spacing w:val="21"/>
          <w:sz w:val="15"/>
          <w:szCs w:val="15"/>
        </w:rPr>
        <w:t xml:space="preserve">Guide   </w:t>
      </w:r>
      <w:r>
        <w:rPr>
          <w:rFonts w:ascii="Plus Jakarta Sans SemiBold" w:cs="Plus Jakarta Sans SemiBold" w:eastAsia="Plus Jakarta Sans SemiBold" w:hAnsi="Plus Jakarta Sans SemiBold"/>
          <w:caps/>
          <w:color w:val="0B0A1F"/>
          <w:spacing w:val="21"/>
          <w:sz w:val="15"/>
          <w:szCs w:val="15"/>
        </w:rPr>
        <w:t xml:space="preserve">Distribute</w:t>
      </w:r>
    </w:p>
    <w:p>
      <w:pPr>
        <w:pStyle w:val="Heading2"/>
        <w:keepNext/>
      </w:pPr>
      <w:r>
        <w:rPr>
          <w:b/>
          <w:bCs/>
        </w:rPr>
        <w:t xml:space="preserve">The same email batch is sent only once per respondent</w:t>
      </w:r>
    </w:p>
    <w:p>
      <w:pPr>
        <w:keepNext w:val="false"/>
      </w:pPr>
      <w:r>
        <w:t xml:space="preserve">When you send a message from </w:t>
      </w:r>
      <w:r>
        <w:rPr>
          <w:b/>
          <w:bCs/>
        </w:rPr>
        <w:t xml:space="preserve">Distribute → Show Messages</w:t>
      </w:r>
      <w:r>
        <w:t xml:space="preserve">, the email is normally sent only to participants who haven’t already received that specific message. This means that, as a rule, the same email batch won’t send the same email twice to the same respondent. If you send the same message again later, therefore, only new participants will receive it. The exception is if you go to </w:t>
      </w:r>
      <w:r>
        <w:rPr>
          <w:b/>
          <w:bCs/>
        </w:rPr>
        <w:t xml:space="preserve">Distribute → Participants</w:t>
      </w:r>
      <w:r>
        <w:t xml:space="preserve">, select one or more specific participants, and resend the message manually. In that case, the same person may receive the message again.</w:t>
      </w:r>
    </w:p>
    <w:p>
      <w:pPr>
        <w:pStyle w:val="Heading2"/>
        <w:keepNext/>
      </w:pPr>
      <w:r>
        <w:rPr>
          <w:b/>
          <w:bCs/>
        </w:rPr>
        <w:t xml:space="preserve">Schedule reminders</w:t>
      </w:r>
    </w:p>
    <w:p>
      <w:pPr>
        <w:keepNext w:val="false"/>
      </w:pPr>
      <w:r>
        <w:t xml:space="preserve">To create a reminder: click the </w:t>
      </w:r>
      <w:r>
        <w:rPr>
          <w:b/>
          <w:bCs/>
        </w:rPr>
        <w:t xml:space="preserve">three dots</w:t>
      </w:r>
      <w:r>
        <w:t xml:space="preserve"> on an existing mailing and select </w:t>
      </w:r>
      <w:r>
        <w:rPr>
          <w:b/>
          <w:bCs/>
        </w:rPr>
        <w:t xml:space="preserve">“Duplicate as reminder</w:t>
      </w:r>
      <w:r>
        <w:t xml:space="preserve">,” or to modify an existing mailing, select </w:t>
      </w:r>
      <w:r>
        <w:rPr>
          <w:b/>
          <w:bCs/>
        </w:rPr>
        <w:t xml:space="preserve">“Type: Invitation → Reminder</w:t>
      </w:r>
      <w:r>
        <w:t xml:space="preserve">.” When the mailing is set as a reminder, it is displayed with a </w:t>
      </w:r>
      <w:r>
        <w:rPr>
          <w:b/>
          <w:bCs/>
        </w:rPr>
        <w:t xml:space="preserve">bell icon</w:t>
      </w:r>
      <w:r>
        <w:t xml:space="preserve">, making it clear that it is a reminder.</w:t>
      </w:r>
    </w:p>
    <w:p>
      <w:pPr>
        <w:keepNext w:val="false"/>
      </w:pPr>
      <w:r>
        <w:t xml:space="preserve">A reminder is sent only to participants who have not yet completed the survey. Participants with the status </w:t>
      </w:r>
      <w:r>
        <w:rPr>
          <w:b/>
          <w:bCs/>
        </w:rPr>
        <w:t xml:space="preserve">“Completed”</w:t>
      </w:r>
      <w:r>
        <w:t xml:space="preserve"> are therefore not included in the reminder.</w:t>
      </w:r>
    </w:p>
    <w:p>
      <w:pPr>
        <w:keepNext/>
      </w:pPr>
      <w:r>
        <w:t xml:space="preserve">To schedule the mailing, click </w:t>
      </w:r>
      <w:r>
        <w:rPr>
          <w:b/>
          <w:bCs/>
        </w:rPr>
        <w:t xml:space="preserve">SCHEDULE</w:t>
      </w:r>
      <w:r>
        <w:t xml:space="preserve"> at the bottom of the mailing. There, you can choose how the reminder should be sent: </w:t>
      </w:r>
      <w:r>
        <w:rPr>
          <w:b/>
          <w:bCs/>
        </w:rPr>
        <w:t xml:space="preserve">One time</w:t>
      </w:r>
      <w:r>
        <w:t xml:space="preserve">, </w:t>
      </w:r>
      <w:r>
        <w:rPr>
          <w:b/>
          <w:bCs/>
        </w:rPr>
        <w:t xml:space="preserve">Weekly</w:t>
      </w:r>
      <w:r>
        <w:t xml:space="preserve">, or </w:t>
      </w:r>
      <w:r>
        <w:rPr>
          <w:b/>
          <w:bCs/>
        </w:rPr>
        <w:t xml:space="preserve">Monthly</w:t>
      </w:r>
      <w:r>
        <w:t xml:space="preserve">. In the same view, you can set the date, time, and other settings for when the mailing should be sent.</w:t>
      </w:r>
    </w:p>
    <w:p>
      <w:pPr>
        <w:keepNext w:val="false"/>
      </w:pPr>
      <w:r>
        <w:drawing>
          <wp:inline distT="0" distB="0" distL="0" distR="0">
            <wp:extent cx="5334000" cy="3790950"/>
            <wp:effectExtent t="0" r="0" b="0" l="0"/>
            <wp:docPr id="7"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34000" cy="3790950"/>
                    </a:xfrm>
                    <a:prstGeom prst="rect">
                      <a:avLst/>
                    </a:prstGeom>
                  </pic:spPr>
                </pic:pic>
              </a:graphicData>
            </a:graphic>
          </wp:inline>
        </w:drawing>
      </w:r>
    </w:p>
    <w:p>
      <w:pPr>
        <w:pStyle w:val="Heading2"/>
        <w:keepNext/>
      </w:pPr>
      <w:r>
        <w:rPr>
          <w:b/>
          <w:bCs/>
        </w:rPr>
        <w:t xml:space="preserve">Scheduling Weekly and Monthly Mailings</w:t>
      </w:r>
    </w:p>
    <w:p>
      <w:pPr>
        <w:keepNext w:val="false"/>
      </w:pPr>
      <w:r>
        <w:t xml:space="preserve">When a mailing is scheduled as </w:t>
      </w:r>
      <w:r>
        <w:rPr>
          <w:b/>
          <w:bCs/>
        </w:rPr>
        <w:t xml:space="preserve">Weekly</w:t>
      </w:r>
      <w:r>
        <w:t xml:space="preserve"> or </w:t>
      </w:r>
      <w:r>
        <w:rPr>
          <w:b/>
          <w:bCs/>
        </w:rPr>
        <w:t xml:space="preserve">Monthly</w:t>
      </w:r>
      <w:r>
        <w:t xml:space="preserve">, it runs repeatedly according to the interval you’ve selected. This means that the same mailing isn’t sent just once; instead, the system continues to run it according to the schedule until you change or stop it.</w:t>
      </w:r>
    </w:p>
    <w:p>
      <w:pPr>
        <w:keepNext w:val="false"/>
      </w:pPr>
      <w:r>
        <w:t xml:space="preserve">Each time a scheduled run occurs, the system checks which participants are eligible at that specific time. For reminders, this means the mailing is sent only to participants who have not yet completed the survey. Participants with the </w:t>
      </w:r>
      <w:r>
        <w:rPr>
          <w:b/>
          <w:bCs/>
        </w:rPr>
        <w:t xml:space="preserve">“Completed”</w:t>
      </w:r>
      <w:r>
        <w:t xml:space="preserve"> status will therefore not receive the reminder, even if the mailing continues to run weekly or monthly.</w:t>
      </w:r>
    </w:p>
    <w:p>
      <w:pPr>
        <w:pStyle w:val="Heading2"/>
        <w:keepNext/>
      </w:pPr>
      <w:r>
        <w:rPr>
          <w:b/>
          <w:bCs/>
        </w:rPr>
        <w:t xml:space="preserve">Automatic Mailings in Rolling Projects</w:t>
      </w:r>
    </w:p>
    <w:p>
      <w:pPr>
        <w:keepNext w:val="false"/>
      </w:pPr>
      <w:r>
        <w:t xml:space="preserve">In rolling projects where new respondents are added on an ongoing basis, scheduled mailings work well because the system checks the participant list with each run. This means that new participants added since the last run can receive the mailing when the next scheduled time occurs.</w:t>
      </w:r>
    </w:p>
    <w:p>
      <w:pPr>
        <w:keepNext w:val="false"/>
      </w:pPr>
      <w:r>
        <w:t xml:space="preserve">Since the same email is normally sent only once per respondent, duplicate emails are avoided, while new participants are continuously captured by the schedule.</w:t>
      </w:r>
    </w:p>
    <w:p>
      <w:pPr>
        <w:pStyle w:val="Heading2"/>
        <w:keepNext/>
      </w:pPr>
      <w:r>
        <w:rPr>
          <w:b/>
          <w:bCs/>
        </w:rPr>
        <w:t xml:space="preserve">Email Statuses in Survey Automator</w:t>
      </w:r>
    </w:p>
    <w:p>
      <w:pPr>
        <w:keepNext/>
      </w:pPr>
      <w:r>
        <w:t xml:space="preserve">Email statuses show what has happened with the email or how far the respondent has progressed in the survey.</w:t>
      </w:r>
    </w:p>
    <w:p>
      <w:pPr>
        <w:pStyle w:val="ListParagraph"/>
        <w:numPr>
          <w:ilvl w:val="0"/>
          <w:numId w:val="9"/>
        </w:numPr>
        <w:spacing w:after="80"/>
      </w:pPr>
      <w:r>
        <w:rPr>
          <w:b/>
          <w:bCs/>
        </w:rPr>
        <w:t xml:space="preserve">Email statuses</w:t>
      </w:r>
    </w:p>
    <w:p>
      <w:pPr>
        <w:pStyle w:val="ListParagraph"/>
        <w:numPr>
          <w:ilvl w:val="0"/>
          <w:numId w:val="9"/>
        </w:numPr>
        <w:spacing w:after="80"/>
      </w:pPr>
      <w:r>
        <w:t xml:space="preserve">  </w:t>
      </w:r>
      <w:r>
        <w:rPr>
          <w:b/>
          <w:bCs/>
        </w:rPr>
        <w:t xml:space="preserve">Completed</w:t>
      </w:r>
    </w:p>
    <w:p>
      <w:pPr>
        <w:pStyle w:val="ListParagraph"/>
        <w:numPr>
          <w:ilvl w:val="0"/>
          <w:numId w:val="9"/>
        </w:numPr>
        <w:spacing w:after="80"/>
      </w:pPr>
      <w:r>
        <w:t xml:space="preserve">  The respondent has filled out the survey and completed it.</w:t>
      </w:r>
    </w:p>
    <w:p>
      <w:pPr>
        <w:pStyle w:val="ListParagraph"/>
        <w:numPr>
          <w:ilvl w:val="0"/>
          <w:numId w:val="9"/>
        </w:numPr>
        <w:spacing w:after="80"/>
      </w:pPr>
      <w:r>
        <w:t xml:space="preserve">  </w:t>
      </w:r>
      <w:r>
        <w:rPr>
          <w:b/>
          <w:bCs/>
        </w:rPr>
        <w:t xml:space="preserve">Started</w:t>
      </w:r>
    </w:p>
    <w:p>
      <w:pPr>
        <w:pStyle w:val="ListParagraph"/>
        <w:numPr>
          <w:ilvl w:val="0"/>
          <w:numId w:val="9"/>
        </w:numPr>
        <w:spacing w:after="80"/>
      </w:pPr>
      <w:r>
        <w:t xml:space="preserve">  The respondent has started the survey but has not completed it.</w:t>
      </w:r>
    </w:p>
    <w:p>
      <w:pPr>
        <w:pStyle w:val="ListParagraph"/>
        <w:numPr>
          <w:ilvl w:val="0"/>
          <w:numId w:val="9"/>
        </w:numPr>
        <w:spacing w:after="80"/>
      </w:pPr>
      <w:r>
        <w:t xml:space="preserve">  </w:t>
      </w:r>
      <w:r>
        <w:rPr>
          <w:b/>
          <w:bCs/>
        </w:rPr>
        <w:t xml:space="preserve">Opened</w:t>
      </w:r>
    </w:p>
    <w:p>
      <w:pPr>
        <w:pStyle w:val="ListParagraph"/>
        <w:numPr>
          <w:ilvl w:val="0"/>
          <w:numId w:val="9"/>
        </w:numPr>
        <w:spacing w:after="80"/>
      </w:pPr>
      <w:r>
        <w:t xml:space="preserve">  The respondent has opened the email but has not started the survey.</w:t>
      </w:r>
    </w:p>
    <w:p>
      <w:pPr>
        <w:pStyle w:val="ListParagraph"/>
        <w:numPr>
          <w:ilvl w:val="0"/>
          <w:numId w:val="9"/>
        </w:numPr>
        <w:spacing w:after="80"/>
      </w:pPr>
      <w:r>
        <w:t xml:space="preserve">  </w:t>
      </w:r>
      <w:r>
        <w:rPr>
          <w:b/>
          <w:bCs/>
        </w:rPr>
        <w:t xml:space="preserve">Received</w:t>
      </w:r>
    </w:p>
    <w:p>
      <w:pPr>
        <w:pStyle w:val="ListParagraph"/>
        <w:numPr>
          <w:ilvl w:val="0"/>
          <w:numId w:val="9"/>
        </w:numPr>
        <w:spacing w:after="80"/>
      </w:pPr>
      <w:r>
        <w:t xml:space="preserve">  The email has reached the respondent, but the link has not been opened.</w:t>
      </w:r>
    </w:p>
    <w:p>
      <w:pPr>
        <w:pStyle w:val="ListParagraph"/>
        <w:numPr>
          <w:ilvl w:val="0"/>
          <w:numId w:val="9"/>
        </w:numPr>
        <w:spacing w:after="80"/>
      </w:pPr>
      <w:r>
        <w:t xml:space="preserve">  </w:t>
      </w:r>
      <w:r>
        <w:rPr>
          <w:b/>
          <w:bCs/>
        </w:rPr>
        <w:t xml:space="preserve">Soft bounce</w:t>
      </w:r>
    </w:p>
    <w:p>
      <w:pPr>
        <w:pStyle w:val="ListParagraph"/>
        <w:numPr>
          <w:ilvl w:val="0"/>
          <w:numId w:val="9"/>
        </w:numPr>
        <w:spacing w:after="80"/>
      </w:pPr>
      <w:r>
        <w:t xml:space="preserve">  The email could not be delivered at this time, but it may still be possible at a later time.</w:t>
      </w:r>
    </w:p>
    <w:p>
      <w:pPr>
        <w:pStyle w:val="ListParagraph"/>
        <w:numPr>
          <w:ilvl w:val="0"/>
          <w:numId w:val="9"/>
        </w:numPr>
        <w:spacing w:after="80"/>
      </w:pPr>
      <w:r>
        <w:t xml:space="preserve">  </w:t>
      </w:r>
      <w:r>
        <w:rPr>
          <w:b/>
          <w:bCs/>
        </w:rPr>
        <w:t xml:space="preserve">Spam (soft bounce)</w:t>
      </w:r>
    </w:p>
    <w:p>
      <w:pPr>
        <w:pStyle w:val="ListParagraph"/>
        <w:numPr>
          <w:ilvl w:val="0"/>
          <w:numId w:val="9"/>
        </w:numPr>
        <w:spacing w:after="80"/>
      </w:pPr>
      <w:r>
        <w:t xml:space="preserve">  The domain used for the mailing has been flagged as spam and has a poor domain reputation.</w:t>
      </w:r>
    </w:p>
    <w:p>
      <w:pPr>
        <w:pStyle w:val="ListParagraph"/>
        <w:numPr>
          <w:ilvl w:val="0"/>
          <w:numId w:val="9"/>
        </w:numPr>
        <w:spacing w:after="80"/>
      </w:pPr>
      <w:r>
        <w:t xml:space="preserve">  </w:t>
      </w:r>
      <w:r>
        <w:rPr>
          <w:b/>
          <w:bCs/>
        </w:rPr>
        <w:t xml:space="preserve">Unsubscribe</w:t>
      </w:r>
    </w:p>
    <w:p>
      <w:pPr>
        <w:pStyle w:val="ListParagraph"/>
        <w:numPr>
          <w:ilvl w:val="0"/>
          <w:numId w:val="9"/>
        </w:numPr>
        <w:spacing w:after="80"/>
      </w:pPr>
      <w:r>
        <w:t xml:space="preserve">  The recipient has chosen not to receive any more emails.</w:t>
      </w:r>
    </w:p>
    <w:p>
      <w:pPr>
        <w:pStyle w:val="ListParagraph"/>
        <w:numPr>
          <w:ilvl w:val="0"/>
          <w:numId w:val="9"/>
        </w:numPr>
        <w:spacing w:after="80"/>
      </w:pPr>
      <w:r>
        <w:t xml:space="preserve">  </w:t>
      </w:r>
      <w:r>
        <w:rPr>
          <w:b/>
          <w:bCs/>
        </w:rPr>
        <w:t xml:space="preserve">Hard bounce</w:t>
      </w:r>
    </w:p>
    <w:p>
      <w:pPr>
        <w:pStyle w:val="ListParagraph"/>
        <w:numPr>
          <w:ilvl w:val="0"/>
          <w:numId w:val="9"/>
        </w:numPr>
        <w:spacing w:after="80"/>
      </w:pPr>
      <w:r>
        <w:t xml:space="preserve">  The email could not be delivered due to a permanent error and will normally not be delivered on subsequent attempts, for example, if the address does not exist. This status can sometimes be set even before the email is sent via an automatic bounce check. The system saves the hard bounce status and normally does not attempt to resend, as repeated attempts can damage the sender domain’s email reputation. If you still need to resend, the recipient can be re-included via </w:t>
      </w:r>
      <w:r>
        <w:rPr>
          <w:b/>
          <w:bCs/>
        </w:rPr>
        <w:t xml:space="preserve">Include</w:t>
      </w:r>
      <w:r>
        <w:t xml:space="preserve">.</w:t>
      </w:r>
    </w:p>
    <w:p>
      <w:pPr>
        <w:pStyle w:val="ListParagraph"/>
        <w:numPr>
          <w:ilvl w:val="0"/>
          <w:numId w:val="9"/>
        </w:numPr>
        <w:spacing w:after="80"/>
      </w:pPr>
      <w:r>
        <w:t xml:space="preserve">  </w:t>
      </w:r>
      <w:r>
        <w:rPr>
          <w:b/>
          <w:bCs/>
        </w:rPr>
        <w:t xml:space="preserve">Invalid</w:t>
      </w:r>
    </w:p>
    <w:p>
      <w:pPr>
        <w:pStyle w:val="ListParagraph"/>
        <w:numPr>
          <w:ilvl w:val="0"/>
          <w:numId w:val="9"/>
        </w:numPr>
        <w:spacing w:after="80"/>
      </w:pPr>
      <w:r>
        <w:t xml:space="preserve">  The email address is invalid. This status is flagged in the system before the mailing is sent.</w:t>
      </w:r>
    </w:p>
    <w:p>
      <w:pPr>
        <w:keepNext w:val="false"/>
      </w:pPr>
      <w:r>
        <w:t xml:space="preserve">For more information about a specific mailing, open a respondent and go to </w:t>
      </w:r>
      <w:r>
        <w:rPr>
          <w:b/>
          <w:bCs/>
        </w:rPr>
        <w:t xml:space="preserve">… → Delivery logs</w:t>
      </w:r>
      <w:r>
        <w:t xml:space="preserve">.</w:t>
      </w:r>
    </w:p>
    <w:p>
      <w:pPr>
        <w:pStyle w:val="Heading2"/>
        <w:keepNext/>
      </w:pPr>
      <w:r>
        <w:rPr>
          <w:b/>
          <w:bCs/>
        </w:rPr>
        <w:t xml:space="preserve">Increase the delivery speed</w:t>
      </w:r>
    </w:p>
    <w:p>
      <w:pPr>
        <w:keepNext w:val="false"/>
      </w:pPr>
      <w:r>
        <w:t xml:space="preserve">If you want to increase the rate of a mailing, do so via </w:t>
      </w:r>
      <w:r>
        <w:rPr>
          <w:b/>
          <w:bCs/>
        </w:rPr>
        <w:t xml:space="preserve">SCHEDULE</w:t>
      </w:r>
      <w:r>
        <w:t xml:space="preserve"> in the mailing settings. Clicking there opens the scheduling dialog, where you can set, among other things, </w:t>
      </w:r>
      <w:r>
        <w:rPr>
          <w:b/>
          <w:bCs/>
        </w:rPr>
        <w:t xml:space="preserve">Max messages / hour</w:t>
      </w:r>
      <w:r>
        <w:t xml:space="preserve">. This value controls how many emails may be sent per hour for that specific mailing.</w:t>
      </w:r>
    </w:p>
    <w:p>
      <w:r>
        <w:t xml:space="preserve">It’s important not to set the rate too high. A rate that’s too high can negatively impact your domain reputation and increase the risk of delivery issues, being marked as spam, and bounces. The rate should therefore be adjusted so that mailings are sent at a controlled pace. For this reason, we have set a limit of 12 mailings per hour as the default setting.</w:t>
      </w:r>
    </w:p>
    <w:p>
      <w:pPr>
        <w:pBdr>
          <w:top w:val="single" w:color="E7E6F0" w:sz="4" w:space="8"/>
        </w:pBdr>
        <w:spacing w:before="480"/>
      </w:pPr>
      <w:r>
        <w:rPr>
          <w:color w:val="5B5A70"/>
          <w:sz w:val="17"/>
          <w:szCs w:val="17"/>
        </w:rPr>
        <w:t xml:space="preserve">The latest version of this guide: </w:t>
      </w:r>
      <w:hyperlink w:history="1" r:id="rIdtpvfgdpmtk4d6es8k36_6">
        <w:r>
          <w:rPr>
            <w:rStyle w:val="Hyperlink"/>
            <w:sz w:val="17"/>
            <w:szCs w:val="17"/>
          </w:rPr>
          <w:t xml:space="preserve">https://www.researchautomators.com/guides/automatic-sendouts-and-reminders/</w:t>
        </w:r>
      </w:hyperlink>
    </w:p>
    <w:sectPr w:rsidR="00AA2309" w:rsidRPr="00AA2309" w:rsidSect="00D01D9D">
      <w:headerReference w:type="even" r:id="rId11"/>
      <w:headerReference w:type="default" r:id="rId12"/>
      <w:footerReference w:type="even" r:id="rId13"/>
      <w:footerReference w:type="default" r:id="rId14"/>
      <w:headerReference w:type="first" r:id="rId15"/>
      <w:footerReference w:type="first" r:id="rId16"/>
      <w:pgSz w:w="11909" w:h="16834" w:code="9"/>
      <w:pgMar w:top="1701" w:right="1831" w:bottom="1418" w:left="1622" w:header="567"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endnote w:type="separator" w:id="-1">
    <w:p w14:paraId="6D263186" w14:textId="77777777" w:rsidR="00F25736" w:rsidRDefault="00F25736" w:rsidP="00270768">
      <w:pPr>
        <w:spacing w:after="0"/>
      </w:pPr>
      <w:r>
        <w:separator/>
      </w:r>
    </w:p>
  </w:endnote>
  <w:endnote w:type="continuationSeparator" w:id="0">
    <w:p w14:paraId="4E6C4570" w14:textId="77777777" w:rsidR="00F25736" w:rsidRDefault="00F25736" w:rsidP="002707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B0604020202020204"/>
    <w:charset w:val="00"/>
    <w:family w:val="auto"/>
    <w:pitch w:val="variable"/>
    <w:sig w:usb0="801000AF" w:usb1="5000204B" w:usb2="00000000" w:usb3="00000000" w:csb0="000000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altName w:val="Vijaya"/>
    <w:panose1 w:val="020B0604020202020204"/>
    <w:charset w:val="00"/>
    <w:family w:val="auto"/>
    <w:pitch w:val="variable"/>
    <w:sig w:usb0="00100007" w:usb1="00000000" w:usb2="00000000" w:usb3="00000000" w:csb0="00000093" w:csb1="00000000"/>
  </w:font>
  <w:font w:name="Plus Jakarta Sans">
    <w:charset w:val="00"/>
    <w:family w:val="swiss"/>
    <w:pitch w:val="variable"/>
    <w:embedRegular r:id="rIdFont1" w:fontKey="{9E9DA749-2435-4AA1-A329-7E232EAF37BD}"/>
    <w:embedBold r:id="rIdFont2" w:fontKey="{2619889F-09D1-4334-9288-33B0CDBE9901}"/>
    <w:embedItalic r:id="rIdFont3" w:fontKey="{5EED4C02-21C2-4056-9BC4-8AFA6E63E1CE}"/>
    <w:embedBoldItalic r:id="rIdFont4" w:fontKey="{DE99D4AF-4264-4605-960C-D571BD853B69}"/>
  </w:font>
  <w:font w:name="Plus Jakarta Sans SemiBold">
    <w:charset w:val="00"/>
    <w:family w:val="swiss"/>
    <w:pitch w:val="variable"/>
    <w:embedRegular r:id="rIdFont5" w:fontKey="{816035FD-A9FF-467A-B5B6-7DC3921B73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221CE46D" w14:textId="77777777" w:rsidR="00ED50F7" w:rsidRDefault="00ED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Footer"/>
      <w:tabs>
        <w:tab w:val="clear" w:pos="4680"/>
        <w:tab w:val="clear" w:pos="9360"/>
        <w:tab w:val="right" w:pos="8456"/>
      </w:tabs>
      <w:pBdr>
        <w:top w:val="single" w:sz="4" w:space="6" w:color="E7E6F0"/>
      </w:pBdr>
    </w:pPr>
    <w:r>
      <w:rPr>
        <w:color w:val="5B5A70"/>
        <w:sz w:val="16"/>
        <w:szCs w:val="16"/>
      </w:rPr>
      <w:t xml:space="preserve">Research Automators Sweden AB  ·  Hornsgatan 24, 118 20 Stockholm  ·  researchautomators.com</w:t>
    </w:r>
    <w:r>
      <w:rPr>
        <w:color w:val="5B5A70"/>
        <w:sz w:val="16"/>
        <w:szCs w:val="16"/>
      </w:rPr>
      <w:tab/>
    </w:r>
    <w:r>
      <w:rPr>
        <w:color w:val="5B5A70"/>
        <w:sz w:val="16"/>
        <w:szCs w:val="16"/>
      </w:rPr>
      <w:fldChar w:fldCharType="begin"/>
    </w:r>
    <w:r>
      <w:rPr>
        <w:color w:val="5B5A70"/>
        <w:sz w:val="16"/>
        <w:szCs w:val="16"/>
      </w:rPr>
      <w:instrText xml:space="preserve"> PAGE </w:instrText>
    </w:r>
    <w:r>
      <w:rPr>
        <w:color w:val="5B5A70"/>
        <w:sz w:val="16"/>
        <w:szCs w:val="16"/>
      </w:rPr>
      <w:fldChar w:fldCharType="separate"/>
    </w:r>
    <w:r>
      <w:rPr>
        <w:color w:val="5B5A70"/>
        <w:sz w:val="16"/>
        <w:szCs w:val="16"/>
      </w:rPr>
      <w:t>1</w:t>
    </w:r>
    <w:r>
      <w:rPr>
        <w:color w:val="5B5A7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69D8D630" w14:textId="77777777" w:rsidR="00ED50F7" w:rsidRDefault="00ED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footnote w:type="separator" w:id="-1">
    <w:p w14:paraId="0043C3F1" w14:textId="77777777" w:rsidR="00F25736" w:rsidRDefault="00F25736" w:rsidP="00270768">
      <w:pPr>
        <w:spacing w:after="0"/>
      </w:pPr>
      <w:r>
        <w:separator/>
      </w:r>
    </w:p>
  </w:footnote>
  <w:footnote w:type="continuationSeparator" w:id="0">
    <w:p w14:paraId="75ACF2AF" w14:textId="77777777" w:rsidR="00F25736" w:rsidRDefault="00F25736" w:rsidP="002707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080962E6" w14:textId="77777777" w:rsidR="00ED50F7" w:rsidRDefault="00ED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Header"/>
      <w:tabs>
        <w:tab w:val="clear" w:pos="4680"/>
        <w:tab w:val="clear" w:pos="9360"/>
        <w:tab w:val="right" w:pos="8456"/>
      </w:tabs>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7562850" cy="90000"/>
          <wp:effectExtent l="0" t="0" r="0" b="0"/>
          <wp:wrapNone/>
          <wp:docPr id="101" name="Gradient bar"/>
          <wp:cNvGraphicFramePr/>
          <a:graphic xmlns:a="http://schemas.openxmlformats.org/drawingml/2006/main">
            <a:graphicData uri="http://schemas.microsoft.com/office/word/2010/wordprocessingShape">
              <wps:wsp>
                <wps:cNvSpPr/>
                <wps:spPr>
                  <a:xfrm>
                    <a:off x="0" y="0"/>
                    <a:ext cx="7562850" cy="90000"/>
                  </a:xfrm>
                  <a:prstGeom prst="rect">
                    <a:avLst/>
                  </a:prstGeom>
                  <a:gradFill>
                    <a:gsLst>
                      <a:gs pos="0">
                        <a:srgbClr val="4737FF"/>
                      </a:gs>
                      <a:gs pos="100000">
                        <a:srgbClr val="B82EBF"/>
                      </a:gs>
                    </a:gsLst>
                    <a:lin ang="0" scaled="0"/>
                  </a:gradFill>
                  <a:ln>
                    <a:noFill/>
                  </a:ln>
                </wps:spPr>
                <wps:bodyPr/>
              </wps:wsp>
            </a:graphicData>
          </a:graphic>
        </wp:anchor>
      </w:drawing>
    </w:r>
    <w:r>
      <w:drawing>
        <wp:inline distT="0" distB="0" distL="0" distR="0">
          <wp:extent cx="972000" cy="243000"/>
          <wp:effectExtent l="0" t="0" r="0" b="0"/>
          <wp:docPr id="102" name="Research Automators logo" descr="Research Autom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logo-black.png"/>
                  <pic:cNvPicPr/>
                </pic:nvPicPr>
                <pic:blipFill>
                  <a:blip r:embed="rIdLogo"/>
                  <a:stretch>
                    <a:fillRect/>
                  </a:stretch>
                </pic:blipFill>
                <pic:spPr>
                  <a:xfrm>
                    <a:off x="0" y="0"/>
                    <a:ext cx="972000" cy="243000"/>
                  </a:xfrm>
                  <a:prstGeom prst="rect">
                    <a:avLst/>
                  </a:prstGeom>
                </pic:spPr>
              </pic:pic>
            </a:graphicData>
          </a:graphic>
        </wp:inline>
      </w:drawing>
    </w:r>
    <w:r>
      <w:rPr>
        <w:color w:val="5B5A70"/>
        <w:sz w:val="16"/>
        <w:szCs w:val="16"/>
      </w:rPr>
      <w:tab/>
      <w:t>Automatic Email Sendouts and Reminders in Survey Automator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7703650B" w14:textId="77777777" w:rsidR="00ED50F7" w:rsidRDefault="00ED50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abstractNum w:abstractNumId="0" w15:restartNumberingAfterBreak="0">
    <w:nsid w:val="247A0336"/>
    <w:multiLevelType w:val="hybridMultilevel"/>
    <w:tmpl w:val="CE505F42"/>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0734F"/>
    <w:multiLevelType w:val="hybridMultilevel"/>
    <w:tmpl w:val="FCF8774A"/>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D024CB"/>
    <w:multiLevelType w:val="hybridMultilevel"/>
    <w:tmpl w:val="6E72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0598F"/>
    <w:multiLevelType w:val="hybridMultilevel"/>
    <w:tmpl w:val="FB08E694"/>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57963"/>
    <w:multiLevelType w:val="hybridMultilevel"/>
    <w:tmpl w:val="43C8AE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B424697"/>
    <w:multiLevelType w:val="hybridMultilevel"/>
    <w:tmpl w:val="8744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F11EE"/>
    <w:multiLevelType w:val="hybridMultilevel"/>
    <w:tmpl w:val="5A74705E"/>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2315E8"/>
    <w:multiLevelType w:val="hybridMultilevel"/>
    <w:tmpl w:val="51C67436"/>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multiLevelType w:val="hybridMultilevel"/>
    <w:lvl w:ilvl="0" w:tentative="1">
      <w:start w:val="1"/>
      <w:numFmt w:val="bullet"/>
      <w:lvlText w:val="•"/>
      <w:lvlJc w:val="left"/>
      <w:pPr>
        <w:ind w:left="340" w:hanging="227"/>
      </w:pPr>
      <w:rPr>
        <w:color w:val="4737FF"/>
      </w:rPr>
    </w:lvl>
    <w:lvl w:ilvl="1" w:tentative="1">
      <w:start w:val="1"/>
      <w:numFmt w:val="bullet"/>
      <w:lvlText w:val="–"/>
      <w:lvlJc w:val="left"/>
      <w:pPr>
        <w:ind w:left="680" w:hanging="227"/>
      </w:pPr>
      <w:rPr>
        <w:color w:val="4737FF"/>
      </w:rPr>
    </w:lvl>
    <w:lvl w:ilvl="2" w:tentative="1">
      <w:start w:val="1"/>
      <w:numFmt w:val="bullet"/>
      <w:lvlText w:val="·"/>
      <w:lvlJc w:val="left"/>
      <w:pPr>
        <w:ind w:left="1021" w:hanging="227"/>
      </w:pPr>
      <w:rPr>
        <w:color w:val="4737FF"/>
      </w:rPr>
    </w:lvl>
  </w:abstractNum>
  <w:num w:numId="1" w16cid:durableId="1815945957">
    <w:abstractNumId w:val="2"/>
  </w:num>
  <w:num w:numId="2" w16cid:durableId="663049584">
    <w:abstractNumId w:val="4"/>
  </w:num>
  <w:num w:numId="3" w16cid:durableId="2074504158">
    <w:abstractNumId w:val="5"/>
  </w:num>
  <w:num w:numId="4" w16cid:durableId="1743914369">
    <w:abstractNumId w:val="0"/>
  </w:num>
  <w:num w:numId="5" w16cid:durableId="1885631925">
    <w:abstractNumId w:val="3"/>
  </w:num>
  <w:num w:numId="6" w16cid:durableId="1964381369">
    <w:abstractNumId w:val="6"/>
  </w:num>
  <w:num w:numId="7" w16cid:durableId="271669181">
    <w:abstractNumId w:val="7"/>
  </w:num>
  <w:num w:numId="8" w16cid:durableId="24449244">
    <w:abstractNumId w:val="1"/>
  </w:num>
  <w:num w:numId="9">
    <w:abstractNumId w:val="8"/>
    <w:lvlOverride w:ilvl="0">
      <w:startOverride w:val="1"/>
    </w:lvlOverride>
    <w:lvlOverride w:ilvl="1">
      <w:startOverride w:val="1"/>
    </w:lvlOverride>
    <w:lvlOverride w:ilvl="2">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42"/>
    <w:rsid w:val="00006E1D"/>
    <w:rsid w:val="0000776C"/>
    <w:rsid w:val="0001229B"/>
    <w:rsid w:val="000459C7"/>
    <w:rsid w:val="00057D28"/>
    <w:rsid w:val="00065803"/>
    <w:rsid w:val="00065E57"/>
    <w:rsid w:val="00066615"/>
    <w:rsid w:val="00090DA9"/>
    <w:rsid w:val="0009694B"/>
    <w:rsid w:val="00097462"/>
    <w:rsid w:val="000C04D4"/>
    <w:rsid w:val="000C3E37"/>
    <w:rsid w:val="000D3A83"/>
    <w:rsid w:val="000D5ABA"/>
    <w:rsid w:val="00100EFF"/>
    <w:rsid w:val="00113809"/>
    <w:rsid w:val="00114EE9"/>
    <w:rsid w:val="0012104B"/>
    <w:rsid w:val="00124A33"/>
    <w:rsid w:val="00132D48"/>
    <w:rsid w:val="00137816"/>
    <w:rsid w:val="00137899"/>
    <w:rsid w:val="00142627"/>
    <w:rsid w:val="00180C07"/>
    <w:rsid w:val="00181B2D"/>
    <w:rsid w:val="0019473E"/>
    <w:rsid w:val="001B7146"/>
    <w:rsid w:val="001E02B8"/>
    <w:rsid w:val="001E4E61"/>
    <w:rsid w:val="001F0047"/>
    <w:rsid w:val="001F6FF0"/>
    <w:rsid w:val="001F70F2"/>
    <w:rsid w:val="0020680C"/>
    <w:rsid w:val="0020751C"/>
    <w:rsid w:val="002075BC"/>
    <w:rsid w:val="00213465"/>
    <w:rsid w:val="002238C4"/>
    <w:rsid w:val="002433E5"/>
    <w:rsid w:val="00246B68"/>
    <w:rsid w:val="00250485"/>
    <w:rsid w:val="00262C7B"/>
    <w:rsid w:val="0026780C"/>
    <w:rsid w:val="00270768"/>
    <w:rsid w:val="00281A4C"/>
    <w:rsid w:val="00286677"/>
    <w:rsid w:val="002A3421"/>
    <w:rsid w:val="002A4DCE"/>
    <w:rsid w:val="002A50BF"/>
    <w:rsid w:val="002A790A"/>
    <w:rsid w:val="002B258D"/>
    <w:rsid w:val="002B3389"/>
    <w:rsid w:val="002B37DE"/>
    <w:rsid w:val="002B6837"/>
    <w:rsid w:val="002C5D03"/>
    <w:rsid w:val="002D58E3"/>
    <w:rsid w:val="002D79B6"/>
    <w:rsid w:val="002E3D4B"/>
    <w:rsid w:val="00317910"/>
    <w:rsid w:val="00321183"/>
    <w:rsid w:val="003265B8"/>
    <w:rsid w:val="0033663A"/>
    <w:rsid w:val="00347792"/>
    <w:rsid w:val="00363A11"/>
    <w:rsid w:val="003A08CD"/>
    <w:rsid w:val="003A781C"/>
    <w:rsid w:val="003B0329"/>
    <w:rsid w:val="003B1CA8"/>
    <w:rsid w:val="003B2901"/>
    <w:rsid w:val="003B734C"/>
    <w:rsid w:val="003C13D6"/>
    <w:rsid w:val="003D23F5"/>
    <w:rsid w:val="003D51BA"/>
    <w:rsid w:val="003D6B82"/>
    <w:rsid w:val="003E531F"/>
    <w:rsid w:val="003F0A3F"/>
    <w:rsid w:val="003F5EAB"/>
    <w:rsid w:val="00407835"/>
    <w:rsid w:val="00454B42"/>
    <w:rsid w:val="00462215"/>
    <w:rsid w:val="00483602"/>
    <w:rsid w:val="00491469"/>
    <w:rsid w:val="004A52AC"/>
    <w:rsid w:val="004A5BC4"/>
    <w:rsid w:val="004B0597"/>
    <w:rsid w:val="004C22A2"/>
    <w:rsid w:val="004C3863"/>
    <w:rsid w:val="004D40BD"/>
    <w:rsid w:val="004D416E"/>
    <w:rsid w:val="004E1827"/>
    <w:rsid w:val="005178A1"/>
    <w:rsid w:val="005624DC"/>
    <w:rsid w:val="00566F52"/>
    <w:rsid w:val="00573237"/>
    <w:rsid w:val="00586BBB"/>
    <w:rsid w:val="00594E99"/>
    <w:rsid w:val="00596826"/>
    <w:rsid w:val="005A75CA"/>
    <w:rsid w:val="005D2711"/>
    <w:rsid w:val="006011B5"/>
    <w:rsid w:val="006224CD"/>
    <w:rsid w:val="006524BA"/>
    <w:rsid w:val="00686AC6"/>
    <w:rsid w:val="00694A8C"/>
    <w:rsid w:val="006A6073"/>
    <w:rsid w:val="006B569E"/>
    <w:rsid w:val="006C5F75"/>
    <w:rsid w:val="006F1A34"/>
    <w:rsid w:val="0074474E"/>
    <w:rsid w:val="00747FC1"/>
    <w:rsid w:val="00775D34"/>
    <w:rsid w:val="007772B9"/>
    <w:rsid w:val="00783DD3"/>
    <w:rsid w:val="007A6F7C"/>
    <w:rsid w:val="007B6250"/>
    <w:rsid w:val="007C380F"/>
    <w:rsid w:val="007C62E4"/>
    <w:rsid w:val="007C6CD5"/>
    <w:rsid w:val="007E28EF"/>
    <w:rsid w:val="007E37F9"/>
    <w:rsid w:val="007E442C"/>
    <w:rsid w:val="007F4247"/>
    <w:rsid w:val="00805C02"/>
    <w:rsid w:val="00814CA3"/>
    <w:rsid w:val="00834AB1"/>
    <w:rsid w:val="008471FD"/>
    <w:rsid w:val="00855391"/>
    <w:rsid w:val="0085713D"/>
    <w:rsid w:val="0086477C"/>
    <w:rsid w:val="00867759"/>
    <w:rsid w:val="008717FA"/>
    <w:rsid w:val="00890033"/>
    <w:rsid w:val="008935DD"/>
    <w:rsid w:val="008A360D"/>
    <w:rsid w:val="008A514E"/>
    <w:rsid w:val="008B0843"/>
    <w:rsid w:val="008B4B14"/>
    <w:rsid w:val="008C78D4"/>
    <w:rsid w:val="008D3B32"/>
    <w:rsid w:val="008F1235"/>
    <w:rsid w:val="009125EC"/>
    <w:rsid w:val="00960AA3"/>
    <w:rsid w:val="009771E1"/>
    <w:rsid w:val="00982781"/>
    <w:rsid w:val="00994153"/>
    <w:rsid w:val="009A3F56"/>
    <w:rsid w:val="009D6E49"/>
    <w:rsid w:val="009F422F"/>
    <w:rsid w:val="00A06847"/>
    <w:rsid w:val="00A07B7C"/>
    <w:rsid w:val="00A07D02"/>
    <w:rsid w:val="00A144DC"/>
    <w:rsid w:val="00A60CCC"/>
    <w:rsid w:val="00A63847"/>
    <w:rsid w:val="00A82636"/>
    <w:rsid w:val="00A860C9"/>
    <w:rsid w:val="00AA2309"/>
    <w:rsid w:val="00AA6F53"/>
    <w:rsid w:val="00AA74B7"/>
    <w:rsid w:val="00AD1486"/>
    <w:rsid w:val="00AF4BFE"/>
    <w:rsid w:val="00B07DE0"/>
    <w:rsid w:val="00B27C1F"/>
    <w:rsid w:val="00B3679B"/>
    <w:rsid w:val="00B511B1"/>
    <w:rsid w:val="00B81116"/>
    <w:rsid w:val="00B81DAC"/>
    <w:rsid w:val="00BC522D"/>
    <w:rsid w:val="00BC69A4"/>
    <w:rsid w:val="00BC6D6D"/>
    <w:rsid w:val="00BE3FE7"/>
    <w:rsid w:val="00BE4D70"/>
    <w:rsid w:val="00BF6250"/>
    <w:rsid w:val="00C251AB"/>
    <w:rsid w:val="00C964F5"/>
    <w:rsid w:val="00CA1262"/>
    <w:rsid w:val="00CA2559"/>
    <w:rsid w:val="00CB1444"/>
    <w:rsid w:val="00CB2F39"/>
    <w:rsid w:val="00CB688C"/>
    <w:rsid w:val="00CC592C"/>
    <w:rsid w:val="00D01D9D"/>
    <w:rsid w:val="00D30F63"/>
    <w:rsid w:val="00D45CBF"/>
    <w:rsid w:val="00D47DCC"/>
    <w:rsid w:val="00D579F3"/>
    <w:rsid w:val="00D62D38"/>
    <w:rsid w:val="00D82A7B"/>
    <w:rsid w:val="00D901A9"/>
    <w:rsid w:val="00D94C3F"/>
    <w:rsid w:val="00D97442"/>
    <w:rsid w:val="00DC5879"/>
    <w:rsid w:val="00DD56FD"/>
    <w:rsid w:val="00E01A44"/>
    <w:rsid w:val="00E020DB"/>
    <w:rsid w:val="00E048EA"/>
    <w:rsid w:val="00E64E0F"/>
    <w:rsid w:val="00E67234"/>
    <w:rsid w:val="00E723A6"/>
    <w:rsid w:val="00E85A91"/>
    <w:rsid w:val="00E90782"/>
    <w:rsid w:val="00E911A5"/>
    <w:rsid w:val="00EB1C5D"/>
    <w:rsid w:val="00EB55BD"/>
    <w:rsid w:val="00ED35A6"/>
    <w:rsid w:val="00ED3D52"/>
    <w:rsid w:val="00ED50F7"/>
    <w:rsid w:val="00EE544A"/>
    <w:rsid w:val="00F01FDA"/>
    <w:rsid w:val="00F0661B"/>
    <w:rsid w:val="00F25736"/>
    <w:rsid w:val="00F268F6"/>
    <w:rsid w:val="00F27FE7"/>
    <w:rsid w:val="00F33373"/>
    <w:rsid w:val="00F47F74"/>
    <w:rsid w:val="00F52EC1"/>
    <w:rsid w:val="00F8283C"/>
    <w:rsid w:val="00F833B9"/>
    <w:rsid w:val="00FC30B0"/>
    <w:rsid w:val="00FC6346"/>
    <w:rsid w:val="00FC6640"/>
    <w:rsid w:val="00FD06E5"/>
    <w:rsid w:val="00FE4B18"/>
    <w:rsid w:val="00FE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E7CD"/>
  <w15:chartTrackingRefBased/>
  <w15:docId w15:val="{34D228C7-E156-44D1-AEBD-CBFF7A67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3D3C55"/>
        <w:sz w:val="20"/>
        <w:szCs w:val="2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02"/>
    <w:pPr>
      <w:spacing w:after="160" w:line="300" w:lineRule="auto"/>
    </w:pPr>
  </w:style>
  <w:style w:type="paragraph" w:styleId="Heading1">
    <w:name w:val="heading 1"/>
    <w:basedOn w:val="Normal"/>
    <w:next w:val="Normal"/>
    <w:link w:val="Heading1Char"/>
    <w:uiPriority w:val="9"/>
    <w:qFormat/>
    <w:rsid w:val="00805C02"/>
    <w:pPr>
      <w:keepNext/>
      <w:keepLines/>
      <w:spacing w:before="0" w:after="200" w:line="240" w:lineRule="auto"/>
      <w:outlineLvl w:val="0"/>
    </w:pPr>
    <w:rPr>
      <w:rFonts w:asciiTheme="majorHAnsi" w:eastAsiaTheme="majorEastAsia" w:hAnsiTheme="majorHAnsi" w:cstheme="majorBidi"/>
      <w:color w:val="0B0A1F"/>
      <w:spacing w:val="-15"/>
      <w:sz w:val="60"/>
      <w:szCs w:val="60"/>
      <w:lang w:val="sv-SE"/>
    </w:rPr>
  </w:style>
  <w:style w:type="paragraph" w:styleId="Heading2">
    <w:name w:val="heading 2"/>
    <w:basedOn w:val="Normal"/>
    <w:next w:val="Normal"/>
    <w:link w:val="Heading2Char"/>
    <w:uiPriority w:val="9"/>
    <w:unhideWhenUsed/>
    <w:qFormat/>
    <w:rsid w:val="00805C02"/>
    <w:pPr>
      <w:keepNext/>
      <w:keepLines/>
      <w:spacing w:before="440" w:after="120" w:line="240" w:lineRule="auto"/>
      <w:outlineLvl w:val="1"/>
    </w:pPr>
    <w:rPr>
      <w:rFonts w:asciiTheme="majorHAnsi" w:eastAsiaTheme="majorEastAsia" w:hAnsiTheme="majorHAnsi" w:cstheme="majorBidi"/>
      <w:color w:val="0B0A1F"/>
      <w:spacing w:val="-8"/>
      <w:sz w:val="30"/>
      <w:szCs w:val="30"/>
    </w:rPr>
  </w:style>
  <w:style w:type="paragraph" w:styleId="Heading3">
    <w:name w:val="heading 3"/>
    <w:basedOn w:val="Normal"/>
    <w:next w:val="Normal"/>
    <w:link w:val="Heading3Char"/>
    <w:uiPriority w:val="9"/>
    <w:unhideWhenUsed/>
    <w:qFormat/>
    <w:rsid w:val="00805C02"/>
    <w:pPr>
      <w:keepNext/>
      <w:keepLines/>
      <w:spacing w:before="340" w:after="80" w:line="240" w:lineRule="auto"/>
      <w:outlineLvl w:val="2"/>
    </w:pPr>
    <w:rPr>
      <w:rFonts w:asciiTheme="majorHAnsi" w:eastAsiaTheme="majorEastAsia" w:hAnsiTheme="majorHAnsi" w:cstheme="majorBidi"/>
      <w:color w:val="0B0A1F"/>
      <w:spacing w:val="-4"/>
      <w:sz w:val="24"/>
      <w:szCs w:val="24"/>
      <w:lang w:val="sv-SE"/>
    </w:rPr>
  </w:style>
  <w:style w:type="paragraph" w:styleId="Heading4">
    <w:name w:val="heading 4"/>
    <w:basedOn w:val="Normal"/>
    <w:next w:val="Normal"/>
    <w:link w:val="Heading4Char"/>
    <w:uiPriority w:val="9"/>
    <w:semiHidden/>
    <w:unhideWhenUsed/>
    <w:qFormat/>
    <w:rsid w:val="00805C02"/>
    <w:pPr>
      <w:keepNext/>
      <w:keepLines/>
      <w:spacing w:before="320" w:after="60" w:line="240" w:lineRule="auto"/>
      <w:outlineLvl w:val="3"/>
    </w:pPr>
    <w:rPr>
      <w:rFonts w:asciiTheme="majorHAnsi" w:eastAsiaTheme="majorEastAsia" w:hAnsiTheme="majorHAnsi" w:cstheme="majorBidi"/>
      <w:color w:val="0B0A1F"/>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768"/>
    <w:pPr>
      <w:tabs>
        <w:tab w:val="center" w:pos="4680"/>
        <w:tab w:val="right" w:pos="9360"/>
      </w:tabs>
      <w:spacing w:after="0"/>
    </w:pPr>
  </w:style>
  <w:style w:type="character" w:customStyle="1" w:styleId="HeaderChar">
    <w:name w:val="Header Char"/>
    <w:basedOn w:val="DefaultParagraphFont"/>
    <w:link w:val="Header"/>
    <w:uiPriority w:val="99"/>
    <w:rsid w:val="00270768"/>
  </w:style>
  <w:style w:type="paragraph" w:styleId="Footer">
    <w:name w:val="footer"/>
    <w:basedOn w:val="Normal"/>
    <w:link w:val="FooterChar"/>
    <w:uiPriority w:val="99"/>
    <w:unhideWhenUsed/>
    <w:rsid w:val="00270768"/>
    <w:pPr>
      <w:tabs>
        <w:tab w:val="center" w:pos="4680"/>
        <w:tab w:val="right" w:pos="9360"/>
      </w:tabs>
      <w:spacing w:after="0"/>
    </w:pPr>
  </w:style>
  <w:style w:type="character" w:customStyle="1" w:styleId="FooterChar">
    <w:name w:val="Footer Char"/>
    <w:basedOn w:val="DefaultParagraphFont"/>
    <w:link w:val="Footer"/>
    <w:uiPriority w:val="99"/>
    <w:rsid w:val="00270768"/>
  </w:style>
  <w:style w:type="table" w:styleId="TableGrid">
    <w:name w:val="Table Grid"/>
    <w:basedOn w:val="TableNormal"/>
    <w:uiPriority w:val="39"/>
    <w:rsid w:val="0027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5C02"/>
    <w:pPr>
      <w:spacing w:after="0" w:line="240" w:lineRule="auto"/>
      <w:contextualSpacing/>
    </w:pPr>
    <w:rPr>
      <w:rFonts w:ascii="Plus Jakarta Sans" w:eastAsiaTheme="majorEastAsia" w:hAnsi="Plus Jakarta Sans" w:cstheme="majorBidi"/>
      <w:spacing w:val="-10"/>
      <w:kern w:val="28"/>
      <w:sz w:val="80"/>
      <w:szCs w:val="56"/>
    </w:rPr>
  </w:style>
  <w:style w:type="character" w:customStyle="1" w:styleId="TitleChar">
    <w:name w:val="Title Char"/>
    <w:basedOn w:val="DefaultParagraphFont"/>
    <w:link w:val="Title"/>
    <w:uiPriority w:val="10"/>
    <w:rsid w:val="00805C02"/>
    <w:rPr>
      <w:rFonts w:ascii="Plus Jakarta Sans" w:eastAsiaTheme="majorEastAsia" w:hAnsi="Plus Jakarta Sans" w:cstheme="majorBidi"/>
      <w:spacing w:val="-10"/>
      <w:kern w:val="28"/>
      <w:sz w:val="80"/>
      <w:szCs w:val="56"/>
    </w:rPr>
  </w:style>
  <w:style w:type="character" w:customStyle="1" w:styleId="Heading1Char">
    <w:name w:val="Heading 1 Char"/>
    <w:basedOn w:val="DefaultParagraphFont"/>
    <w:link w:val="Heading1"/>
    <w:uiPriority w:val="9"/>
    <w:rsid w:val="00805C02"/>
    <w:rPr>
      <w:rFonts w:asciiTheme="majorHAnsi" w:eastAsiaTheme="majorEastAsia" w:hAnsiTheme="majorHAnsi" w:cstheme="majorBidi"/>
      <w:b/>
      <w:sz w:val="80"/>
      <w:szCs w:val="32"/>
      <w:lang w:val="sv-SE"/>
    </w:rPr>
  </w:style>
  <w:style w:type="character" w:styleId="Strong">
    <w:name w:val="Strong"/>
    <w:basedOn w:val="DefaultParagraphFont"/>
    <w:uiPriority w:val="22"/>
    <w:qFormat/>
    <w:rsid w:val="00805C02"/>
    <w:rPr>
      <w:rFonts w:ascii="Plus Jakarta Sans" w:hAnsi="Plus Jakarta Sans"/>
      <w:b w:val="0"/>
      <w:bCs/>
    </w:rPr>
  </w:style>
  <w:style w:type="character" w:customStyle="1" w:styleId="Heading2Char">
    <w:name w:val="Heading 2 Char"/>
    <w:basedOn w:val="DefaultParagraphFont"/>
    <w:link w:val="Heading2"/>
    <w:uiPriority w:val="9"/>
    <w:rsid w:val="00805C02"/>
    <w:rPr>
      <w:rFonts w:asciiTheme="majorHAnsi" w:eastAsiaTheme="majorEastAsia" w:hAnsiTheme="majorHAnsi" w:cstheme="majorBidi"/>
      <w:b/>
      <w:sz w:val="40"/>
      <w:szCs w:val="26"/>
    </w:rPr>
  </w:style>
  <w:style w:type="paragraph" w:styleId="Subtitle">
    <w:name w:val="Subtitle"/>
    <w:basedOn w:val="Normal"/>
    <w:next w:val="Normal"/>
    <w:link w:val="SubtitleChar"/>
    <w:uiPriority w:val="11"/>
    <w:qFormat/>
    <w:rsid w:val="00805C02"/>
    <w:pPr>
      <w:numPr>
        <w:ilvl w:val="1"/>
      </w:numPr>
      <w:spacing w:after="160"/>
    </w:pPr>
    <w:rPr>
      <w:rFonts w:eastAsiaTheme="minorEastAsia"/>
      <w:spacing w:val="15"/>
    </w:rPr>
  </w:style>
  <w:style w:type="character" w:customStyle="1" w:styleId="SubtitleChar">
    <w:name w:val="Subtitle Char"/>
    <w:basedOn w:val="DefaultParagraphFont"/>
    <w:link w:val="Subtitle"/>
    <w:uiPriority w:val="11"/>
    <w:rsid w:val="00805C02"/>
    <w:rPr>
      <w:rFonts w:eastAsiaTheme="minorEastAsia"/>
      <w:spacing w:val="15"/>
    </w:rPr>
  </w:style>
  <w:style w:type="paragraph" w:styleId="Quote">
    <w:name w:val="Quote"/>
    <w:basedOn w:val="Normal"/>
    <w:next w:val="Normal"/>
    <w:link w:val="QuoteChar"/>
    <w:uiPriority w:val="29"/>
    <w:qFormat/>
    <w:rsid w:val="00805C02"/>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29"/>
    <w:rsid w:val="00805C02"/>
    <w:rPr>
      <w:i/>
      <w:iCs/>
      <w:color w:val="000000" w:themeColor="text1"/>
    </w:rPr>
  </w:style>
  <w:style w:type="character" w:customStyle="1" w:styleId="Heading3Char">
    <w:name w:val="Heading 3 Char"/>
    <w:basedOn w:val="DefaultParagraphFont"/>
    <w:link w:val="Heading3"/>
    <w:uiPriority w:val="9"/>
    <w:rsid w:val="00805C02"/>
    <w:rPr>
      <w:rFonts w:asciiTheme="majorHAnsi" w:eastAsiaTheme="majorEastAsia" w:hAnsiTheme="majorHAnsi" w:cstheme="majorBidi"/>
      <w:b/>
      <w:sz w:val="28"/>
      <w:szCs w:val="24"/>
      <w:lang w:val="sv-SE"/>
    </w:rPr>
  </w:style>
  <w:style w:type="character" w:customStyle="1" w:styleId="Heading4Char">
    <w:name w:val="Heading 4 Char"/>
    <w:basedOn w:val="DefaultParagraphFont"/>
    <w:link w:val="Heading4"/>
    <w:uiPriority w:val="9"/>
    <w:semiHidden/>
    <w:rsid w:val="00805C02"/>
    <w:rPr>
      <w:rFonts w:asciiTheme="majorHAnsi" w:eastAsiaTheme="majorEastAsia" w:hAnsiTheme="majorHAnsi" w:cstheme="majorBidi"/>
      <w:i/>
      <w:iCs/>
    </w:rPr>
  </w:style>
  <w:style w:type="character" w:styleId="IntenseEmphasis">
    <w:name w:val="Intense Emphasis"/>
    <w:basedOn w:val="DefaultParagraphFont"/>
    <w:uiPriority w:val="21"/>
    <w:qFormat/>
    <w:rsid w:val="00805C02"/>
    <w:rPr>
      <w:i/>
      <w:iCs/>
      <w:color w:val="auto"/>
    </w:rPr>
  </w:style>
  <w:style w:type="paragraph" w:styleId="NoSpacing">
    <w:name w:val="No Spacing"/>
    <w:link w:val="NoSpacingChar"/>
    <w:uiPriority w:val="1"/>
    <w:qFormat/>
    <w:rsid w:val="00805C02"/>
    <w:pPr>
      <w:spacing w:after="0" w:line="240" w:lineRule="auto"/>
    </w:pPr>
    <w:rPr>
      <w:rFonts w:eastAsiaTheme="minorEastAsia"/>
      <w:sz w:val="16"/>
      <w:szCs w:val="16"/>
    </w:rPr>
  </w:style>
  <w:style w:type="character" w:customStyle="1" w:styleId="NoSpacingChar">
    <w:name w:val="No Spacing Char"/>
    <w:basedOn w:val="DefaultParagraphFont"/>
    <w:link w:val="NoSpacing"/>
    <w:uiPriority w:val="1"/>
    <w:rsid w:val="00805C02"/>
    <w:rPr>
      <w:rFonts w:eastAsiaTheme="minorEastAsia"/>
      <w:sz w:val="16"/>
      <w:szCs w:val="16"/>
    </w:rPr>
  </w:style>
  <w:style w:type="paragraph" w:styleId="ListParagraph">
    <w:name w:val="List Paragraph"/>
    <w:basedOn w:val="Normal"/>
    <w:uiPriority w:val="34"/>
    <w:qFormat/>
    <w:rsid w:val="00805C02"/>
    <w:pPr>
      <w:ind w:left="720"/>
      <w:contextualSpacing/>
    </w:pPr>
  </w:style>
  <w:style w:type="table" w:styleId="PlainTable4">
    <w:name w:val="Plain Table 4"/>
    <w:basedOn w:val="TableNormal"/>
    <w:uiPriority w:val="44"/>
    <w:rsid w:val="00D974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180C07"/>
    <w:rPr>
      <w:color w:val="808080"/>
    </w:rPr>
  </w:style>
  <w:style w:type="character" w:styleId="Hyperlink">
    <w:name w:val="Hyperlink"/>
    <w:basedOn w:val="DefaultParagraphFont"/>
    <w:uiPriority w:val="99"/>
    <w:unhideWhenUsed/>
    <w:rsid w:val="0020751C"/>
    <w:rPr>
      <w:color w:val="4737FF"/>
      <w:u w:val="single"/>
    </w:rPr>
  </w:style>
  <w:style w:type="character" w:styleId="UnresolvedMention">
    <w:name w:val="Unresolved Mention"/>
    <w:basedOn w:val="DefaultParagraphFont"/>
    <w:uiPriority w:val="99"/>
    <w:semiHidden/>
    <w:unhideWhenUsed/>
    <w:rsid w:val="0020751C"/>
    <w:rPr>
      <w:color w:val="605E5C"/>
      <w:shd w:val="clear" w:color="auto" w:fill="E1DFDD"/>
    </w:rPr>
  </w:style>
  <w:style w:type="paragraph" w:customStyle="1" w:styleId="Lead">
    <w:name w:val="Lead"/>
    <w:basedOn w:val="Normal"/>
    <w:next w:val="Normal"/>
    <w:qFormat/>
    <w:pPr>
      <w:spacing w:after="320" w:line="288" w:lineRule="auto"/>
    </w:pPr>
    <w:rPr>
      <w:color w:val="5B5A70"/>
      <w:sz w:val="24"/>
      <w:szCs w:val="24"/>
    </w:rPr>
  </w:style>
  <w:style w:type="table" w:customStyle="1" w:styleId="RATable">
    <w:name w:val="RA Table"/>
    <w:basedOn w:val="TableNormal"/>
    <w:uiPriority w:val="40"/>
    <w:qFormat/>
    <w:pPr>
      <w:spacing w:after="0" w:line="264" w:lineRule="auto"/>
    </w:pPr>
    <w:rPr>
      <w:sz w:val="18"/>
      <w:szCs w:val="18"/>
    </w:rPr>
    <w:tblPr>
      <w:tblStyleRowBandSize w:val="1"/>
      <w:tblBorders>
        <w:bottom w:val="single" w:sz="6" w:space="0" w:color="E7E6F0"/>
        <w:insideH w:val="single" w:sz="6" w:space="0" w:color="E7E6F0"/>
      </w:tblBorders>
      <w:tblCellMar>
        <w:top w:w="108" w:type="dxa"/>
        <w:left w:w="119" w:type="dxa"/>
        <w:bottom w:w="108" w:type="dxa"/>
        <w:right w:w="119" w:type="dxa"/>
      </w:tblCellMar>
    </w:tblPr>
    <w:tcPr>
      <w:vAlign w:val="top"/>
    </w:tcPr>
    <w:tblStylePr w:type="firstRow">
      <w:pPr>
        <w:spacing w:line="240" w:lineRule="auto"/>
      </w:pPr>
      <w:rPr>
        <w:rFonts w:ascii="Plus Jakarta Sans SemiBold" w:hAnsi="Plus Jakarta Sans SemiBold"/>
        <w:caps/>
        <w:color w:val="FFFFFF"/>
        <w:spacing w:val="12"/>
        <w:sz w:val="15"/>
        <w:szCs w:val="15"/>
      </w:rPr>
      <w:tblPr/>
      <w:trPr>
        <w:tblHeader/>
      </w:trPr>
      <w:tcPr>
        <w:tcBorders>
          <w:bottom w:val="single" w:sz="16" w:space="0" w:color="4737FF"/>
        </w:tcBorders>
        <w:shd w:val="clear" w:color="auto" w:fill="0B0A1F"/>
        <w:vAlign w:val="bottom"/>
      </w:tcPr>
    </w:tblStylePr>
    <w:tblStylePr w:type="firstCol">
      <w:rPr>
        <w:rFonts w:ascii="Plus Jakarta Sans SemiBold" w:hAnsi="Plus Jakarta Sans SemiBold"/>
        <w:color w:val="0B0A1F"/>
      </w:rPr>
    </w:tblStylePr>
    <w:tblStylePr w:type="band2Horz">
      <w:tblPr/>
      <w:tcPr>
        <w:shd w:val="clear" w:color="auto" w:fill="F8F7F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223108">
      <w:bodyDiv w:val="1"/>
      <w:marLeft w:val="0"/>
      <w:marRight w:val="0"/>
      <w:marTop w:val="0"/>
      <w:marBottom w:val="0"/>
      <w:divBdr>
        <w:top w:val="none" w:sz="0" w:space="0" w:color="auto"/>
        <w:left w:val="none" w:sz="0" w:space="0" w:color="auto"/>
        <w:bottom w:val="none" w:sz="0" w:space="0" w:color="auto"/>
        <w:right w:val="none" w:sz="0" w:space="0" w:color="auto"/>
      </w:divBdr>
      <w:divsChild>
        <w:div w:id="1543900169">
          <w:marLeft w:val="0"/>
          <w:marRight w:val="0"/>
          <w:marTop w:val="0"/>
          <w:marBottom w:val="240"/>
          <w:divBdr>
            <w:top w:val="none" w:sz="0" w:space="0" w:color="auto"/>
            <w:left w:val="none" w:sz="0" w:space="0" w:color="auto"/>
            <w:bottom w:val="none" w:sz="0" w:space="0" w:color="auto"/>
            <w:right w:val="none" w:sz="0" w:space="0" w:color="auto"/>
          </w:divBdr>
        </w:div>
        <w:div w:id="515728288">
          <w:marLeft w:val="0"/>
          <w:marRight w:val="0"/>
          <w:marTop w:val="0"/>
          <w:marBottom w:val="240"/>
          <w:divBdr>
            <w:top w:val="none" w:sz="0" w:space="0" w:color="auto"/>
            <w:left w:val="none" w:sz="0" w:space="0" w:color="auto"/>
            <w:bottom w:val="none" w:sz="0" w:space="0" w:color="auto"/>
            <w:right w:val="none" w:sz="0" w:space="0" w:color="auto"/>
          </w:divBdr>
        </w:div>
        <w:div w:id="658772273">
          <w:marLeft w:val="0"/>
          <w:marRight w:val="0"/>
          <w:marTop w:val="0"/>
          <w:marBottom w:val="240"/>
          <w:divBdr>
            <w:top w:val="none" w:sz="0" w:space="0" w:color="auto"/>
            <w:left w:val="none" w:sz="0" w:space="0" w:color="auto"/>
            <w:bottom w:val="none" w:sz="0" w:space="0" w:color="auto"/>
            <w:right w:val="none" w:sz="0" w:space="0" w:color="auto"/>
          </w:divBdr>
        </w:div>
      </w:divsChild>
    </w:div>
    <w:div w:id="265164353">
      <w:bodyDiv w:val="1"/>
      <w:marLeft w:val="0"/>
      <w:marRight w:val="0"/>
      <w:marTop w:val="0"/>
      <w:marBottom w:val="0"/>
      <w:divBdr>
        <w:top w:val="none" w:sz="0" w:space="0" w:color="auto"/>
        <w:left w:val="none" w:sz="0" w:space="0" w:color="auto"/>
        <w:bottom w:val="none" w:sz="0" w:space="0" w:color="auto"/>
        <w:right w:val="none" w:sz="0" w:space="0" w:color="auto"/>
      </w:divBdr>
      <w:divsChild>
        <w:div w:id="746848760">
          <w:marLeft w:val="0"/>
          <w:marRight w:val="0"/>
          <w:marTop w:val="0"/>
          <w:marBottom w:val="240"/>
          <w:divBdr>
            <w:top w:val="none" w:sz="0" w:space="0" w:color="auto"/>
            <w:left w:val="none" w:sz="0" w:space="0" w:color="auto"/>
            <w:bottom w:val="none" w:sz="0" w:space="0" w:color="auto"/>
            <w:right w:val="none" w:sz="0" w:space="0" w:color="auto"/>
          </w:divBdr>
        </w:div>
        <w:div w:id="1351763683">
          <w:marLeft w:val="0"/>
          <w:marRight w:val="0"/>
          <w:marTop w:val="0"/>
          <w:marBottom w:val="240"/>
          <w:divBdr>
            <w:top w:val="none" w:sz="0" w:space="0" w:color="auto"/>
            <w:left w:val="none" w:sz="0" w:space="0" w:color="auto"/>
            <w:bottom w:val="none" w:sz="0" w:space="0" w:color="auto"/>
            <w:right w:val="none" w:sz="0" w:space="0" w:color="auto"/>
          </w:divBdr>
        </w:div>
      </w:divsChild>
    </w:div>
    <w:div w:id="598099737">
      <w:bodyDiv w:val="1"/>
      <w:marLeft w:val="0"/>
      <w:marRight w:val="0"/>
      <w:marTop w:val="0"/>
      <w:marBottom w:val="0"/>
      <w:divBdr>
        <w:top w:val="none" w:sz="0" w:space="0" w:color="auto"/>
        <w:left w:val="none" w:sz="0" w:space="0" w:color="auto"/>
        <w:bottom w:val="none" w:sz="0" w:space="0" w:color="auto"/>
        <w:right w:val="none" w:sz="0" w:space="0" w:color="auto"/>
      </w:divBdr>
      <w:divsChild>
        <w:div w:id="781412344">
          <w:marLeft w:val="0"/>
          <w:marRight w:val="0"/>
          <w:marTop w:val="0"/>
          <w:marBottom w:val="240"/>
          <w:divBdr>
            <w:top w:val="none" w:sz="0" w:space="0" w:color="auto"/>
            <w:left w:val="none" w:sz="0" w:space="0" w:color="auto"/>
            <w:bottom w:val="none" w:sz="0" w:space="0" w:color="auto"/>
            <w:right w:val="none" w:sz="0" w:space="0" w:color="auto"/>
          </w:divBdr>
        </w:div>
        <w:div w:id="1612325050">
          <w:marLeft w:val="0"/>
          <w:marRight w:val="0"/>
          <w:marTop w:val="0"/>
          <w:marBottom w:val="240"/>
          <w:divBdr>
            <w:top w:val="none" w:sz="0" w:space="0" w:color="auto"/>
            <w:left w:val="none" w:sz="0" w:space="0" w:color="auto"/>
            <w:bottom w:val="none" w:sz="0" w:space="0" w:color="auto"/>
            <w:right w:val="none" w:sz="0" w:space="0" w:color="auto"/>
          </w:divBdr>
        </w:div>
      </w:divsChild>
    </w:div>
    <w:div w:id="1017846594">
      <w:bodyDiv w:val="1"/>
      <w:marLeft w:val="0"/>
      <w:marRight w:val="0"/>
      <w:marTop w:val="0"/>
      <w:marBottom w:val="0"/>
      <w:divBdr>
        <w:top w:val="none" w:sz="0" w:space="0" w:color="auto"/>
        <w:left w:val="none" w:sz="0" w:space="0" w:color="auto"/>
        <w:bottom w:val="none" w:sz="0" w:space="0" w:color="auto"/>
        <w:right w:val="none" w:sz="0" w:space="0" w:color="auto"/>
      </w:divBdr>
    </w:div>
    <w:div w:id="1045717931">
      <w:bodyDiv w:val="1"/>
      <w:marLeft w:val="0"/>
      <w:marRight w:val="0"/>
      <w:marTop w:val="0"/>
      <w:marBottom w:val="0"/>
      <w:divBdr>
        <w:top w:val="none" w:sz="0" w:space="0" w:color="auto"/>
        <w:left w:val="none" w:sz="0" w:space="0" w:color="auto"/>
        <w:bottom w:val="none" w:sz="0" w:space="0" w:color="auto"/>
        <w:right w:val="none" w:sz="0" w:space="0" w:color="auto"/>
      </w:divBdr>
    </w:div>
    <w:div w:id="1491291007">
      <w:bodyDiv w:val="1"/>
      <w:marLeft w:val="0"/>
      <w:marRight w:val="0"/>
      <w:marTop w:val="0"/>
      <w:marBottom w:val="0"/>
      <w:divBdr>
        <w:top w:val="none" w:sz="0" w:space="0" w:color="auto"/>
        <w:left w:val="none" w:sz="0" w:space="0" w:color="auto"/>
        <w:bottom w:val="none" w:sz="0" w:space="0" w:color="auto"/>
        <w:right w:val="none" w:sz="0" w:space="0" w:color="auto"/>
      </w:divBdr>
      <w:divsChild>
        <w:div w:id="1514957964">
          <w:marLeft w:val="0"/>
          <w:marRight w:val="0"/>
          <w:marTop w:val="0"/>
          <w:marBottom w:val="240"/>
          <w:divBdr>
            <w:top w:val="none" w:sz="0" w:space="0" w:color="auto"/>
            <w:left w:val="none" w:sz="0" w:space="0" w:color="auto"/>
            <w:bottom w:val="none" w:sz="0" w:space="0" w:color="auto"/>
            <w:right w:val="none" w:sz="0" w:space="0" w:color="auto"/>
          </w:divBdr>
        </w:div>
        <w:div w:id="1531336669">
          <w:marLeft w:val="0"/>
          <w:marRight w:val="0"/>
          <w:marTop w:val="0"/>
          <w:marBottom w:val="240"/>
          <w:divBdr>
            <w:top w:val="none" w:sz="0" w:space="0" w:color="auto"/>
            <w:left w:val="none" w:sz="0" w:space="0" w:color="auto"/>
            <w:bottom w:val="none" w:sz="0" w:space="0" w:color="auto"/>
            <w:right w:val="none" w:sz="0" w:space="0" w:color="auto"/>
          </w:divBdr>
        </w:div>
      </w:divsChild>
    </w:div>
    <w:div w:id="1711688082">
      <w:bodyDiv w:val="1"/>
      <w:marLeft w:val="0"/>
      <w:marRight w:val="0"/>
      <w:marTop w:val="0"/>
      <w:marBottom w:val="0"/>
      <w:divBdr>
        <w:top w:val="none" w:sz="0" w:space="0" w:color="auto"/>
        <w:left w:val="none" w:sz="0" w:space="0" w:color="auto"/>
        <w:bottom w:val="none" w:sz="0" w:space="0" w:color="auto"/>
        <w:right w:val="none" w:sz="0" w:space="0" w:color="auto"/>
      </w:divBdr>
      <w:divsChild>
        <w:div w:id="915557969">
          <w:marLeft w:val="0"/>
          <w:marRight w:val="0"/>
          <w:marTop w:val="0"/>
          <w:marBottom w:val="240"/>
          <w:divBdr>
            <w:top w:val="none" w:sz="0" w:space="0" w:color="auto"/>
            <w:left w:val="none" w:sz="0" w:space="0" w:color="auto"/>
            <w:bottom w:val="none" w:sz="0" w:space="0" w:color="auto"/>
            <w:right w:val="none" w:sz="0" w:space="0" w:color="auto"/>
          </w:divBdr>
        </w:div>
        <w:div w:id="1470394983">
          <w:marLeft w:val="0"/>
          <w:marRight w:val="0"/>
          <w:marTop w:val="0"/>
          <w:marBottom w:val="240"/>
          <w:divBdr>
            <w:top w:val="none" w:sz="0" w:space="0" w:color="auto"/>
            <w:left w:val="none" w:sz="0" w:space="0" w:color="auto"/>
            <w:bottom w:val="none" w:sz="0" w:space="0" w:color="auto"/>
            <w:right w:val="none" w:sz="0" w:space="0" w:color="auto"/>
          </w:divBdr>
        </w:div>
        <w:div w:id="216476417">
          <w:marLeft w:val="0"/>
          <w:marRight w:val="0"/>
          <w:marTop w:val="0"/>
          <w:marBottom w:val="240"/>
          <w:divBdr>
            <w:top w:val="none" w:sz="0" w:space="0" w:color="auto"/>
            <w:left w:val="none" w:sz="0" w:space="0" w:color="auto"/>
            <w:bottom w:val="none" w:sz="0" w:space="0" w:color="auto"/>
            <w:right w:val="none" w:sz="0" w:space="0" w:color="auto"/>
          </w:divBdr>
        </w:div>
      </w:divsChild>
    </w:div>
    <w:div w:id="1784155074">
      <w:bodyDiv w:val="1"/>
      <w:marLeft w:val="0"/>
      <w:marRight w:val="0"/>
      <w:marTop w:val="0"/>
      <w:marBottom w:val="0"/>
      <w:divBdr>
        <w:top w:val="none" w:sz="0" w:space="0" w:color="auto"/>
        <w:left w:val="none" w:sz="0" w:space="0" w:color="auto"/>
        <w:bottom w:val="none" w:sz="0" w:space="0" w:color="auto"/>
        <w:right w:val="none" w:sz="0" w:space="0" w:color="auto"/>
      </w:divBdr>
    </w:div>
    <w:div w:id="196681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4" Type="http://schemas.openxmlformats.org/officeDocument/2006/relationships/settings" Target="settings.xml"/><Relationship Id="rId14" Type="http://schemas.openxmlformats.org/officeDocument/2006/relationships/footer" Target="footer2.xml"/><Relationship Id="rIdCoverWeb" Type="http://schemas.openxmlformats.org/officeDocument/2006/relationships/image" Target="media/cover-web.jpg"/><Relationship Id="rId19" Type="http://schemas.openxmlformats.org/officeDocument/2006/relationships/image" Target="media/09633219e6e6d40ec0b7593eaf96dc204b0fed99.png"/><Relationship Id="rId20" Type="http://schemas.openxmlformats.org/officeDocument/2006/relationships/image" Target="media/d748aaec5a2aa7fdb43f8d472135e8be9f7e4442.png"/><Relationship Id="rIdtpvfgdpmtk4d6es8k36_6" Type="http://schemas.openxmlformats.org/officeDocument/2006/relationships/hyperlink" Target="https://www.researchautomators.com/guides/automatic-sendouts-and-reminders/" TargetMode="Externa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s>
</file>

<file path=word/_rels/header2.xml.rels><?xml version="1.0" encoding="UTF-8" standalone="yes"?>
<Relationships xmlns="http://schemas.openxmlformats.org/package/2006/relationships"><Relationship Id="rIdLogo" Type="http://schemas.openxmlformats.org/officeDocument/2006/relationships/image" Target="media/logo-hea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Plus Jakarta Sans SemiBold"/>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lus Jakarta Sans"/>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8B0EF-B073-4474-B1C1-0622D284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152</Words>
  <Characters>871</Characters>
  <Application>Microsoft Office Word</Application>
  <DocSecurity>0</DocSecurity>
  <Lines>7</Lines>
  <Paragraphs>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Offert Datainsamling &amp; projektportal</vt:lpstr>
      <vt:lpstr>Offert Datainsamling &amp; projektportal</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Automatic Email Sendouts and Reminders in Survey Automator</dc:title>
  <dc:subject>Lorem ipsum dolor sit amet, consectetur adipiscing elit.</dc:subject>
  <dc:creator>Emil</dc:creator>
  <cp:keywords/>
  <dc:description/>
  <cp:lastModifiedBy>Dan-Martin Hellgren</cp:lastModifiedBy>
  <cp:revision>15</cp:revision>
  <cp:lastPrinted>2025-11-07T16:11:00Z</cp:lastPrinted>
  <dcterms:created xsi:type="dcterms:W3CDTF">2024-09-26T11:38:00Z</dcterms:created>
  <dcterms:modified xsi:type="dcterms:W3CDTF">2026-10-28T13:32:00Z</dcterms:modified>
</cp:coreProperties>
</file>