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ContentType="image/bmp" Extension="bmp"/>
  <Default ContentType="image/gif" Extension="gif"/>
  <Default ContentType="image/svg+xml" Extension="sv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background w:color="FFFFFF" w:themeColor="background1"/>
  <w:body>
    <w:p>
      <w:pPr>
        <w:spacing w:after="0" w:line="240" w:lineRule="auto"/>
      </w:pPr>
      <w:r>
        <w:drawing>
          <wp:anchor distT="0" distB="0" distL="0" distR="0" simplePos="0" relativeHeight="25165824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201" name="Cover" descr="Research Automator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cover.jpg"/>
                    <pic:cNvPicPr/>
                  </pic:nvPicPr>
                  <pic:blipFill>
                    <a:blip r:embed="rIdCoverWeb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lus Jakarta Sans SemiBold" w:hAnsi="Plus Jakarta Sans SemiBold"/>
          <w:color w:val="FFFFFF"/>
          <w:spacing w:val="-22"/>
          <w:sz w:val="88"/>
          <w:szCs w:val="100"/>
          <w:lang w:val="sv-SE"/>
        </w:rPr>
        <w:t>Conditions</w:t>
      </w:r>
    </w:p>
    <w:p>
      <w:pPr>
        <w:spacing w:before="340" w:after="0" w:line="264" w:lineRule="auto"/>
      </w:pPr>
      <w:r>
        <w:rPr>
          <w:color w:val="A9A7C2"/>
          <w:sz w:val="28"/>
          <w:szCs w:val="28"/>
          <w:lang w:val="sv-SE"/>
        </w:rPr>
        <w:t>Survey Automator guide</w:t>
      </w:r>
    </w:p>
    <w:p>
      <w:pPr>
        <w:spacing w:after="0"/>
        <w:sectPr>
          <w:pgSz w:w="11909" w:h="16834" w:code="9"/>
          <w:pgMar w:top="8959" w:right="1588" w:bottom="1134" w:left="1247" w:header="0" w:footer="0" w:gutter="0"/>
          <w:cols w:space="720"/>
          <w:docGrid w:linePitch="360"/>
        </w:sectPr>
      </w:pPr>
    </w:p>
    <w:p>
      <w:pPr>
        <w:spacing w:after="280"/>
      </w:pPr>
      <w:r>
        <w:drawing>
          <wp:inline distT="0" distB="0" distL="0" distR="0">
            <wp:extent cx="647700" cy="57150"/>
            <wp:effectExtent t="0" r="0" b="0" l="0"/>
            <wp:docPr id="6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>
          <w:sz w:val="64"/>
          <w:szCs w:val="64"/>
        </w:rPr>
        <w:t xml:space="preserve">Conditions</w:t>
      </w:r>
    </w:p>
    <w:p>
      <w:pPr>
        <w:spacing w:after="480" w:before="60"/>
      </w:pPr>
      <w:r>
        <w:rPr>
          <w:rFonts w:ascii="Plus Jakarta Sans SemiBold" w:cs="Plus Jakarta Sans SemiBold" w:eastAsia="Plus Jakarta Sans SemiBold" w:hAnsi="Plus Jakarta Sans SemiBold"/>
          <w:caps/>
          <w:color w:val="4737FF"/>
          <w:spacing w:val="21"/>
          <w:sz w:val="15"/>
          <w:szCs w:val="15"/>
        </w:rPr>
        <w:t xml:space="preserve">Guide   </w:t>
      </w:r>
      <w:r>
        <w:rPr>
          <w:rFonts w:ascii="Plus Jakarta Sans SemiBold" w:cs="Plus Jakarta Sans SemiBold" w:eastAsia="Plus Jakarta Sans SemiBold" w:hAnsi="Plus Jakarta Sans SemiBold"/>
          <w:caps/>
          <w:color w:val="0B0A1F"/>
          <w:spacing w:val="21"/>
          <w:sz w:val="15"/>
          <w:szCs w:val="15"/>
        </w:rPr>
        <w:t xml:space="preserve">Survey</w:t>
      </w:r>
    </w:p>
    <w:p>
      <w:pPr>
        <w:pStyle w:val="Lead"/>
        <w:keepNext w:val="false"/>
      </w:pPr>
      <w:r>
        <w:t xml:space="preserve">A question can be displayed based on a participant’s previous responses in the survey or on background data already available about the participant.</w:t>
      </w:r>
    </w:p>
    <w:p>
      <w:pPr>
        <w:keepNext/>
      </w:pPr>
      <w:r>
        <w:rPr>
          <w:b/>
          <w:bCs/>
        </w:rPr>
        <w:t xml:space="preserve">How to Add a Condition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Open the question you want to condition.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Click the three-dot menu (⋯) in the upper-right corner of the question.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Select </w:t>
      </w:r>
      <w:r>
        <w:rPr>
          <w:b/>
          <w:bCs/>
        </w:rPr>
        <w:t xml:space="preserve">Condition</w:t>
      </w:r>
      <w:r>
        <w:t xml:space="preserve"> → </w:t>
      </w:r>
      <w:r>
        <w:rPr>
          <w:b/>
          <w:bCs/>
        </w:rPr>
        <w:t xml:space="preserve">Add</w:t>
      </w:r>
      <w:r>
        <w:t xml:space="preserve"> </w:t>
      </w:r>
      <w:r>
        <w:rPr>
          <w:b/>
          <w:bCs/>
        </w:rPr>
        <w:t xml:space="preserve">new</w:t>
      </w:r>
      <w:r>
        <w:t xml:space="preserve">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Give your </w:t>
      </w:r>
      <w:r>
        <w:rPr>
          <w:b/>
          <w:bCs/>
        </w:rPr>
        <w:t xml:space="preserve">Condition</w:t>
      </w:r>
      <w:r>
        <w:t xml:space="preserve"> a short name, such as "Has purchased."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Select which previous question or background variable should control the display, and which answer options should trigger it.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Click OK.</w:t>
      </w:r>
    </w:p>
    <w:p>
      <w:pPr>
        <w:keepNext w:val="false"/>
      </w:pPr>
      <w:r>
        <w:drawing>
          <wp:inline distT="0" distB="0" distL="0" distR="0">
            <wp:extent cx="5334000" cy="4467225"/>
            <wp:effectExtent t="0" r="0" b="0" l="0"/>
            <wp:docPr id="68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</w:pPr>
      <w:r>
        <w:rPr>
          <w:b/>
          <w:bCs/>
        </w:rPr>
        <w:t xml:space="preserve">Conditions on individual response options or rows in a matrix</w:t>
      </w:r>
    </w:p>
    <w:p>
      <w:pPr>
        <w:keepNext/>
      </w:pPr>
      <w:r>
        <w:t xml:space="preserve">You can do the same thing at the detail level. Click the three-dot menu next to a specific response option or row in a matrix question instead of clicking the entire question.</w:t>
      </w:r>
    </w:p>
    <w:p>
      <w:pPr>
        <w:keepNext w:val="false"/>
      </w:pPr>
      <w:r>
        <w:drawing>
          <wp:inline distT="0" distB="0" distL="0" distR="0">
            <wp:extent cx="5334000" cy="4695825"/>
            <wp:effectExtent t="0" r="0" b="0" l="0"/>
            <wp:docPr id="69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</w:pPr>
      <w:r>
        <w:rPr>
          <w:b/>
          <w:bCs/>
        </w:rPr>
        <w:t xml:space="preserve">Background data</w:t>
      </w:r>
    </w:p>
    <w:p>
      <w:pPr>
        <w:keepNext w:val="false"/>
      </w:pPr>
      <w:r>
        <w:t xml:space="preserve">Conditions can also be based on background data, not just on responses in the survey itself.</w:t>
      </w:r>
    </w:p>
    <w:p>
      <w:pPr>
        <w:keepNext w:val="false"/>
      </w:pPr>
      <w:r>
        <w:rPr>
          <w:b/>
          <w:bCs/>
        </w:rPr>
        <w:t xml:space="preserve">Advanced: Conditions as expressions</w:t>
      </w:r>
    </w:p>
    <w:p>
      <w:pPr>
        <w:keepNext w:val="false"/>
      </w:pPr>
      <w:r>
        <w:t xml:space="preserve">Each Condition is built using an expression. If you click into the expression field (or work with Error message logic), you can view and edit it directly.</w:t>
      </w:r>
    </w:p>
    <w:p>
      <w:pPr>
        <w:keepNext w:val="false"/>
      </w:pPr>
      <w:r>
        <w:t xml:space="preserve">The basic form is </w:t>
      </w:r>
      <w:r>
        <w:rPr>
          <w:rFonts w:ascii="Consolas" w:cs="Consolas" w:eastAsia="Consolas" w:hAnsi="Consolas"/>
          <w:sz w:val="18"/>
          <w:szCs w:val="18"/>
          <w:shd w:fill="F6F5FB" w:val="clear"/>
        </w:rPr>
        <w:t xml:space="preserve">{Question}:{Answer}</w:t>
      </w:r>
      <w:r>
        <w:t xml:space="preserve">, where the question ID and answer ID are enclosed in curly braces. The expression is true if the participant has selected that specific answer.</w:t>
      </w:r>
    </w:p>
    <w:p>
      <w:pPr>
        <w:keepNext/>
      </w:pPr>
      <w:r>
        <w:t xml:space="preserve">Example: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onsolas" w:cs="Consolas" w:eastAsia="Consolas" w:hAnsi="Consolas"/>
          <w:sz w:val="18"/>
          <w:szCs w:val="18"/>
          <w:shd w:fill="F6F5FB" w:val="clear"/>
        </w:rPr>
        <w:t xml:space="preserve">{Fulfilled}:{9}</w:t>
      </w:r>
      <w:r>
        <w:t xml:space="preserve"> → true if the participant selected answer 9 for the question “Fulfilled”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onsolas" w:cs="Consolas" w:eastAsia="Consolas" w:hAnsi="Consolas"/>
          <w:sz w:val="18"/>
          <w:szCs w:val="18"/>
          <w:shd w:fill="F6F5FB" w:val="clear"/>
        </w:rPr>
        <w:t xml:space="preserve">{Fulfilled}:{9} OR {Fulfilled}:{10} OR {Fulfilled}:{11}</w:t>
      </w:r>
      <w:r>
        <w:t xml:space="preserve"> → true if any of the answers 9, 10, or 11 were selected</w:t>
      </w:r>
    </w:p>
    <w:p>
      <w:pPr>
        <w:pStyle w:val="ListParagraph"/>
        <w:numPr>
          <w:ilvl w:val="0"/>
          <w:numId w:val="10"/>
        </w:numPr>
        <w:spacing w:after="80"/>
      </w:pPr>
      <w:r>
        <w:rPr>
          <w:rFonts w:ascii="Consolas" w:cs="Consolas" w:eastAsia="Consolas" w:hAnsi="Consolas"/>
          <w:sz w:val="18"/>
          <w:szCs w:val="18"/>
          <w:shd w:fill="F6F5FB" w:val="clear"/>
        </w:rPr>
        <w:t xml:space="preserve">{Gender}:{2} AND {Important}:{3}</w:t>
      </w:r>
      <w:r>
        <w:t xml:space="preserve"> → true only if both conditions are met</w:t>
      </w:r>
    </w:p>
    <w:p>
      <w:pPr>
        <w:keepNext/>
      </w:pPr>
      <w:r>
        <w:drawing>
          <wp:inline distT="0" distB="0" distL="0" distR="0">
            <wp:extent cx="5295900" cy="1543050"/>
            <wp:effectExtent t="0" r="0" b="0" l="0"/>
            <wp:docPr id="70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</w:pPr>
      <w:r>
        <w:drawing>
          <wp:inline distT="0" distB="0" distL="0" distR="0">
            <wp:extent cx="5238750" cy="4362450"/>
            <wp:effectExtent t="0" r="0" b="0" l="0"/>
            <wp:docPr id="71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</w:pPr>
      <w:r>
        <w:t xml:space="preserve">For matrix questions, you specify a specific row by adding the row number:  </w:t>
      </w:r>
      <w:r>
        <w:rPr>
          <w:rFonts w:ascii="Consolas" w:cs="Consolas" w:eastAsia="Consolas" w:hAnsi="Consolas"/>
          <w:sz w:val="18"/>
          <w:szCs w:val="18"/>
          <w:shd w:fill="F6F5FB" w:val="clear"/>
        </w:rPr>
        <w:t xml:space="preserve">{Aspects}.1:A5</w:t>
      </w:r>
      <w:r>
        <w:t xml:space="preserve"> means answer 5 in row 1 of the Aspects question.</w:t>
      </w:r>
    </w:p>
    <w:p>
      <w:pPr>
        <w:keepNext w:val="false"/>
      </w:pPr>
      <w:r>
        <w:rPr>
          <w:b/>
          <w:bCs/>
        </w:rPr>
        <w:t xml:space="preserve">Comparisons and Calculations</w:t>
      </w:r>
    </w:p>
    <w:p>
      <w:pPr>
        <w:keepNext/>
      </w:pPr>
      <w:r>
        <w:t xml:space="preserve">Expressions support mathematical and comparison operators, which are useful for open-ended questions with numerical answers:</w:t>
      </w:r>
    </w:p>
    <w:p>
      <w:pPr>
        <w:pStyle w:val="ListParagraph"/>
        <w:numPr>
          <w:ilvl w:val="0"/>
          <w:numId w:val="10"/>
        </w:numPr>
        <w:spacing w:after="80"/>
      </w:pPr>
      <w:r>
        <w:t xml:space="preserve">Arithmetic operators: </w:t>
      </w:r>
      <w:r>
        <w:rPr>
          <w:rFonts w:ascii="Consolas" w:cs="Consolas" w:eastAsia="Consolas" w:hAnsi="Consolas"/>
          <w:sz w:val="18"/>
          <w:szCs w:val="18"/>
          <w:shd w:fill="F6F5FB" w:val="clear"/>
        </w:rPr>
        <w:t xml:space="preserve">+</w:t>
      </w:r>
      <w:r>
        <w:t xml:space="preserve">, , , </w:t>
      </w:r>
      <w:r>
        <w:rPr>
          <w:rFonts w:ascii="Consolas" w:cs="Consolas" w:eastAsia="Consolas" w:hAnsi="Consolas"/>
          <w:sz w:val="18"/>
          <w:szCs w:val="18"/>
          <w:shd w:fill="F6F5FB" w:val="clear"/>
        </w:rPr>
        <w:t xml:space="preserve">/</w:t>
      </w:r>
    </w:p>
    <w:p>
      <w:pPr>
        <w:pStyle w:val="ListParagraph"/>
        <w:numPr>
          <w:ilvl w:val="0"/>
          <w:numId w:val="10"/>
        </w:numPr>
        <w:spacing w:after="80"/>
      </w:pPr>
      <w:r>
        <w:t xml:space="preserve">Comparison operators: </w:t>
      </w:r>
      <w:r>
        <w:rPr>
          <w:rFonts w:ascii="Consolas" w:cs="Consolas" w:eastAsia="Consolas" w:hAnsi="Consolas"/>
          <w:sz w:val="18"/>
          <w:szCs w:val="18"/>
          <w:shd w:fill="F6F5FB" w:val="clear"/>
        </w:rPr>
        <w:t xml:space="preserve">&gt;</w:t>
      </w:r>
      <w:r>
        <w:t xml:space="preserve">, </w:t>
      </w:r>
      <w:r>
        <w:rPr>
          <w:rFonts w:ascii="Consolas" w:cs="Consolas" w:eastAsia="Consolas" w:hAnsi="Consolas"/>
          <w:sz w:val="18"/>
          <w:szCs w:val="18"/>
          <w:shd w:fill="F6F5FB" w:val="clear"/>
        </w:rPr>
        <w:t xml:space="preserve">&gt;=</w:t>
      </w:r>
      <w:r>
        <w:t xml:space="preserve">, </w:t>
      </w:r>
      <w:r>
        <w:rPr>
          <w:rFonts w:ascii="Consolas" w:cs="Consolas" w:eastAsia="Consolas" w:hAnsi="Consolas"/>
          <w:sz w:val="18"/>
          <w:szCs w:val="18"/>
          <w:shd w:fill="F6F5FB" w:val="clear"/>
        </w:rPr>
        <w:t xml:space="preserve">&lt;</w:t>
      </w:r>
      <w:r>
        <w:t xml:space="preserve">, </w:t>
      </w:r>
      <w:r>
        <w:rPr>
          <w:rFonts w:ascii="Consolas" w:cs="Consolas" w:eastAsia="Consolas" w:hAnsi="Consolas"/>
          <w:sz w:val="18"/>
          <w:szCs w:val="18"/>
          <w:shd w:fill="F6F5FB" w:val="clear"/>
        </w:rPr>
        <w:t xml:space="preserve">&lt;=</w:t>
      </w:r>
      <w:r>
        <w:t xml:space="preserve">, </w:t>
      </w:r>
      <w:r>
        <w:rPr>
          <w:rFonts w:ascii="Consolas" w:cs="Consolas" w:eastAsia="Consolas" w:hAnsi="Consolas"/>
          <w:sz w:val="18"/>
          <w:szCs w:val="18"/>
          <w:shd w:fill="F6F5FB" w:val="clear"/>
        </w:rPr>
        <w:t xml:space="preserve">=</w:t>
      </w:r>
      <w:r>
        <w:t xml:space="preserve">, </w:t>
      </w:r>
      <w:r>
        <w:rPr>
          <w:rFonts w:ascii="Consolas" w:cs="Consolas" w:eastAsia="Consolas" w:hAnsi="Consolas"/>
          <w:sz w:val="18"/>
          <w:szCs w:val="18"/>
          <w:shd w:fill="F6F5FB" w:val="clear"/>
        </w:rPr>
        <w:t xml:space="preserve">&lt;&gt;</w:t>
      </w:r>
    </w:p>
    <w:p>
      <w:pPr>
        <w:keepNext/>
      </w:pPr>
      <w:r>
        <w:t xml:space="preserve">Example: </w:t>
      </w:r>
      <w:r>
        <w:rPr>
          <w:rFonts w:ascii="Consolas" w:cs="Consolas" w:eastAsia="Consolas" w:hAnsi="Consolas"/>
          <w:sz w:val="18"/>
          <w:szCs w:val="18"/>
          <w:shd w:fill="F6F5FB" w:val="clear"/>
        </w:rPr>
        <w:t xml:space="preserve">{Age} &gt;= 18</w:t>
      </w:r>
      <w:r>
        <w:t xml:space="preserve"> is true if the participant answered 18 or more to the “Age” question. This can be combined with AND/OR and parentheses just as shown above.</w:t>
      </w:r>
    </w:p>
    <w:p>
      <w:r>
        <w:drawing>
          <wp:inline distT="0" distB="0" distL="0" distR="0">
            <wp:extent cx="2171700" cy="1466850"/>
            <wp:effectExtent t="0" r="0" b="0" l="0"/>
            <wp:docPr id="72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single" w:color="E7E6F0" w:sz="4" w:space="8"/>
        </w:pBdr>
        <w:spacing w:before="480"/>
      </w:pPr>
      <w:r>
        <w:rPr>
          <w:color w:val="5B5A70"/>
          <w:sz w:val="17"/>
          <w:szCs w:val="17"/>
        </w:rPr>
        <w:t xml:space="preserve">The latest version of this guide: </w:t>
      </w:r>
      <w:hyperlink w:history="1" r:id="rIdmtpukqegx26_e-hyqkd5e">
        <w:r>
          <w:rPr>
            <w:rStyle w:val="Hyperlink"/>
            <w:sz w:val="17"/>
            <w:szCs w:val="17"/>
          </w:rPr>
          <w:t xml:space="preserve">https://www.researchautomators.com/guides/conditions/</w:t>
        </w:r>
      </w:hyperlink>
    </w:p>
    <w:sectPr w:rsidR="00AA2309" w:rsidRPr="00AA2309" w:rsidSect="00D01D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 w:code="9"/>
      <w:pgMar w:top="1701" w:right="1831" w:bottom="1418" w:left="1622" w:header="567" w:footer="45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endnote w:type="separator" w:id="-1">
    <w:p w14:paraId="6D263186" w14:textId="77777777" w:rsidR="00F25736" w:rsidRDefault="00F25736" w:rsidP="00270768">
      <w:pPr>
        <w:spacing w:after="0"/>
      </w:pPr>
      <w:r>
        <w:separator/>
      </w:r>
    </w:p>
  </w:endnote>
  <w:endnote w:type="continuationSeparator" w:id="0">
    <w:p w14:paraId="4E6C4570" w14:textId="77777777" w:rsidR="00F25736" w:rsidRDefault="00F25736" w:rsidP="0027076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B0604020202020204"/>
    <w:charset w:val="00"/>
    <w:family w:val="auto"/>
    <w:pitch w:val="variable"/>
    <w:sig w:usb0="801000AF" w:usb1="5000204B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Vijaya"/>
    <w:panose1 w:val="020B0604020202020204"/>
    <w:charset w:val="00"/>
    <w:family w:val="auto"/>
    <w:pitch w:val="variable"/>
    <w:sig w:usb0="00100007" w:usb1="00000000" w:usb2="00000000" w:usb3="00000000" w:csb0="00000093" w:csb1="00000000"/>
  </w:font>
  <w:font w:name="Plus Jakarta Sans">
    <w:charset w:val="00"/>
    <w:family w:val="swiss"/>
    <w:pitch w:val="variable"/>
    <w:embedRegular r:id="rIdFont1" w:fontKey="{9E9DA749-2435-4AA1-A329-7E232EAF37BD}"/>
    <w:embedBold r:id="rIdFont2" w:fontKey="{2619889F-09D1-4334-9288-33B0CDBE9901}"/>
    <w:embedItalic r:id="rIdFont3" w:fontKey="{5EED4C02-21C2-4056-9BC4-8AFA6E63E1CE}"/>
    <w:embedBoldItalic r:id="rIdFont4" w:fontKey="{DE99D4AF-4264-4605-960C-D571BD853B69}"/>
  </w:font>
  <w:font w:name="Plus Jakarta Sans SemiBold">
    <w:charset w:val="00"/>
    <w:family w:val="swiss"/>
    <w:pitch w:val="variable"/>
    <w:embedRegular r:id="rIdFont5" w:fontKey="{816035FD-A9FF-467A-B5B6-7DC3921B73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221CE46D" w14:textId="77777777" w:rsidR="00ED50F7" w:rsidRDefault="00ED50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Footer"/>
      <w:tabs>
        <w:tab w:val="clear" w:pos="4680"/>
        <w:tab w:val="clear" w:pos="9360"/>
        <w:tab w:val="right" w:pos="8456"/>
      </w:tabs>
      <w:pBdr>
        <w:top w:val="single" w:sz="4" w:space="6" w:color="E7E6F0"/>
      </w:pBdr>
    </w:pPr>
    <w:r>
      <w:rPr>
        <w:color w:val="5B5A70"/>
        <w:sz w:val="16"/>
        <w:szCs w:val="16"/>
      </w:rPr>
      <w:t xml:space="preserve">Research Automators Sweden AB  ·  Hornsgatan 24, 118 20 Stockholm  ·  researchautomators.com</w:t>
    </w:r>
    <w:r>
      <w:rPr>
        <w:color w:val="5B5A70"/>
        <w:sz w:val="16"/>
        <w:szCs w:val="16"/>
      </w:rPr>
      <w:tab/>
    </w:r>
    <w:r>
      <w:rPr>
        <w:color w:val="5B5A70"/>
        <w:sz w:val="16"/>
        <w:szCs w:val="16"/>
      </w:rPr>
      <w:fldChar w:fldCharType="begin"/>
    </w:r>
    <w:r>
      <w:rPr>
        <w:color w:val="5B5A70"/>
        <w:sz w:val="16"/>
        <w:szCs w:val="16"/>
      </w:rPr>
      <w:instrText xml:space="preserve"> PAGE </w:instrText>
    </w:r>
    <w:r>
      <w:rPr>
        <w:color w:val="5B5A70"/>
        <w:sz w:val="16"/>
        <w:szCs w:val="16"/>
      </w:rPr>
      <w:fldChar w:fldCharType="separate"/>
    </w:r>
    <w:r>
      <w:rPr>
        <w:color w:val="5B5A70"/>
        <w:sz w:val="16"/>
        <w:szCs w:val="16"/>
      </w:rPr>
      <w:t>1</w:t>
    </w:r>
    <w:r>
      <w:rPr>
        <w:color w:val="5B5A7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69D8D630" w14:textId="77777777" w:rsidR="00ED50F7" w:rsidRDefault="00ED50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footnote w:type="separator" w:id="-1">
    <w:p w14:paraId="0043C3F1" w14:textId="77777777" w:rsidR="00F25736" w:rsidRDefault="00F25736" w:rsidP="00270768">
      <w:pPr>
        <w:spacing w:after="0"/>
      </w:pPr>
      <w:r>
        <w:separator/>
      </w:r>
    </w:p>
  </w:footnote>
  <w:footnote w:type="continuationSeparator" w:id="0">
    <w:p w14:paraId="75ACF2AF" w14:textId="77777777" w:rsidR="00F25736" w:rsidRDefault="00F25736" w:rsidP="0027076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080962E6" w14:textId="77777777" w:rsidR="00ED50F7" w:rsidRDefault="00ED50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Header"/>
      <w:tabs>
        <w:tab w:val="clear" w:pos="4680"/>
        <w:tab w:val="clear" w:pos="9360"/>
        <w:tab w:val="right" w:pos="8456"/>
      </w:tabs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90000"/>
          <wp:effectExtent l="0" t="0" r="0" b="0"/>
          <wp:wrapNone/>
          <wp:docPr id="101" name="Gradient bar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7562850" cy="90000"/>
                  </a:xfrm>
                  <a:prstGeom prst="rect">
                    <a:avLst/>
                  </a:prstGeom>
                  <a:gradFill>
                    <a:gsLst>
                      <a:gs pos="0">
                        <a:srgbClr val="4737FF"/>
                      </a:gs>
                      <a:gs pos="100000">
                        <a:srgbClr val="B82EBF"/>
                      </a:gs>
                    </a:gsLst>
                    <a:lin ang="0" scaled="0"/>
                  </a:gra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drawing>
        <wp:inline distT="0" distB="0" distL="0" distR="0">
          <wp:extent cx="972000" cy="243000"/>
          <wp:effectExtent l="0" t="0" r="0" b="0"/>
          <wp:docPr id="102" name="Research Automators logo" descr="Research Automato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" name="logo-black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972000" cy="243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5B5A70"/>
        <w:sz w:val="16"/>
        <w:szCs w:val="16"/>
      </w:rPr>
      <w:tab/>
      <w:t>Conditions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7703650B" w14:textId="77777777" w:rsidR="00ED50F7" w:rsidRDefault="00ED50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abstractNum w:abstractNumId="0" w15:restartNumberingAfterBreak="0">
    <w:nsid w:val="247A0336"/>
    <w:multiLevelType w:val="hybridMultilevel"/>
    <w:tmpl w:val="CE505F42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0734F"/>
    <w:multiLevelType w:val="hybridMultilevel"/>
    <w:tmpl w:val="FCF8774A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024CB"/>
    <w:multiLevelType w:val="hybridMultilevel"/>
    <w:tmpl w:val="6E72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0598F"/>
    <w:multiLevelType w:val="hybridMultilevel"/>
    <w:tmpl w:val="FB08E694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57963"/>
    <w:multiLevelType w:val="hybridMultilevel"/>
    <w:tmpl w:val="43C8AE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424697"/>
    <w:multiLevelType w:val="hybridMultilevel"/>
    <w:tmpl w:val="8744D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F11EE"/>
    <w:multiLevelType w:val="hybridMultilevel"/>
    <w:tmpl w:val="5A74705E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315E8"/>
    <w:multiLevelType w:val="hybridMultilevel"/>
    <w:tmpl w:val="51C67436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40" w:hanging="227"/>
      </w:pPr>
      <w:rPr>
        <w:color w:val="4737FF"/>
      </w:rPr>
    </w:lvl>
    <w:lvl w:ilvl="1" w:tentative="1">
      <w:start w:val="1"/>
      <w:numFmt w:val="bullet"/>
      <w:lvlText w:val="–"/>
      <w:lvlJc w:val="left"/>
      <w:pPr>
        <w:ind w:left="680" w:hanging="227"/>
      </w:pPr>
      <w:rPr>
        <w:color w:val="4737FF"/>
      </w:rPr>
    </w:lvl>
    <w:lvl w:ilvl="2" w:tentative="1">
      <w:start w:val="1"/>
      <w:numFmt w:val="bullet"/>
      <w:lvlText w:val="·"/>
      <w:lvlJc w:val="left"/>
      <w:pPr>
        <w:ind w:left="1021" w:hanging="227"/>
      </w:pPr>
      <w:rPr>
        <w:color w:val="4737FF"/>
      </w:r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40" w:hanging="284"/>
      </w:pPr>
    </w:lvl>
    <w:lvl w:ilvl="1" w:tentative="1">
      <w:start w:val="1"/>
      <w:numFmt w:val="lowerLetter"/>
      <w:lvlText w:val="%2."/>
      <w:lvlJc w:val="left"/>
      <w:pPr>
        <w:ind w:left="680" w:hanging="284"/>
      </w:pPr>
    </w:lvl>
    <w:lvl w:ilvl="2" w:tentative="1">
      <w:start w:val="1"/>
      <w:numFmt w:val="lowerRoman"/>
      <w:lvlText w:val="%3."/>
      <w:lvlJc w:val="left"/>
      <w:pPr>
        <w:ind w:left="1021" w:hanging="284"/>
      </w:pPr>
    </w:lvl>
  </w:abstractNum>
  <w:num w:numId="1" w16cid:durableId="1815945957">
    <w:abstractNumId w:val="2"/>
  </w:num>
  <w:num w:numId="2" w16cid:durableId="663049584">
    <w:abstractNumId w:val="4"/>
  </w:num>
  <w:num w:numId="3" w16cid:durableId="2074504158">
    <w:abstractNumId w:val="5"/>
  </w:num>
  <w:num w:numId="4" w16cid:durableId="1743914369">
    <w:abstractNumId w:val="0"/>
  </w:num>
  <w:num w:numId="5" w16cid:durableId="1885631925">
    <w:abstractNumId w:val="3"/>
  </w:num>
  <w:num w:numId="6" w16cid:durableId="1964381369">
    <w:abstractNumId w:val="6"/>
  </w:num>
  <w:num w:numId="7" w16cid:durableId="271669181">
    <w:abstractNumId w:val="7"/>
  </w:num>
  <w:num w:numId="8" w16cid:durableId="24449244">
    <w:abstractNumId w:val="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B42"/>
    <w:rsid w:val="00006E1D"/>
    <w:rsid w:val="0000776C"/>
    <w:rsid w:val="0001229B"/>
    <w:rsid w:val="000459C7"/>
    <w:rsid w:val="00057D28"/>
    <w:rsid w:val="00065803"/>
    <w:rsid w:val="00065E57"/>
    <w:rsid w:val="00066615"/>
    <w:rsid w:val="00090DA9"/>
    <w:rsid w:val="0009694B"/>
    <w:rsid w:val="00097462"/>
    <w:rsid w:val="000C04D4"/>
    <w:rsid w:val="000C3E37"/>
    <w:rsid w:val="000D3A83"/>
    <w:rsid w:val="000D5ABA"/>
    <w:rsid w:val="00100EFF"/>
    <w:rsid w:val="00113809"/>
    <w:rsid w:val="00114EE9"/>
    <w:rsid w:val="0012104B"/>
    <w:rsid w:val="00124A33"/>
    <w:rsid w:val="00132D48"/>
    <w:rsid w:val="00137816"/>
    <w:rsid w:val="00137899"/>
    <w:rsid w:val="00142627"/>
    <w:rsid w:val="00180C07"/>
    <w:rsid w:val="00181B2D"/>
    <w:rsid w:val="0019473E"/>
    <w:rsid w:val="001B7146"/>
    <w:rsid w:val="001E02B8"/>
    <w:rsid w:val="001E4E61"/>
    <w:rsid w:val="001F0047"/>
    <w:rsid w:val="001F6FF0"/>
    <w:rsid w:val="001F70F2"/>
    <w:rsid w:val="0020680C"/>
    <w:rsid w:val="0020751C"/>
    <w:rsid w:val="002075BC"/>
    <w:rsid w:val="00213465"/>
    <w:rsid w:val="002238C4"/>
    <w:rsid w:val="002433E5"/>
    <w:rsid w:val="00246B68"/>
    <w:rsid w:val="00250485"/>
    <w:rsid w:val="00262C7B"/>
    <w:rsid w:val="0026780C"/>
    <w:rsid w:val="00270768"/>
    <w:rsid w:val="00281A4C"/>
    <w:rsid w:val="00286677"/>
    <w:rsid w:val="002A3421"/>
    <w:rsid w:val="002A4DCE"/>
    <w:rsid w:val="002A50BF"/>
    <w:rsid w:val="002A790A"/>
    <w:rsid w:val="002B258D"/>
    <w:rsid w:val="002B3389"/>
    <w:rsid w:val="002B37DE"/>
    <w:rsid w:val="002B6837"/>
    <w:rsid w:val="002C5D03"/>
    <w:rsid w:val="002D58E3"/>
    <w:rsid w:val="002D79B6"/>
    <w:rsid w:val="002E3D4B"/>
    <w:rsid w:val="00317910"/>
    <w:rsid w:val="00321183"/>
    <w:rsid w:val="003265B8"/>
    <w:rsid w:val="0033663A"/>
    <w:rsid w:val="00347792"/>
    <w:rsid w:val="00363A11"/>
    <w:rsid w:val="003A08CD"/>
    <w:rsid w:val="003A781C"/>
    <w:rsid w:val="003B0329"/>
    <w:rsid w:val="003B1CA8"/>
    <w:rsid w:val="003B2901"/>
    <w:rsid w:val="003B734C"/>
    <w:rsid w:val="003C13D6"/>
    <w:rsid w:val="003D23F5"/>
    <w:rsid w:val="003D51BA"/>
    <w:rsid w:val="003D6B82"/>
    <w:rsid w:val="003E531F"/>
    <w:rsid w:val="003F0A3F"/>
    <w:rsid w:val="003F5EAB"/>
    <w:rsid w:val="00407835"/>
    <w:rsid w:val="00454B42"/>
    <w:rsid w:val="00462215"/>
    <w:rsid w:val="00483602"/>
    <w:rsid w:val="00491469"/>
    <w:rsid w:val="004A52AC"/>
    <w:rsid w:val="004A5BC4"/>
    <w:rsid w:val="004B0597"/>
    <w:rsid w:val="004C22A2"/>
    <w:rsid w:val="004C3863"/>
    <w:rsid w:val="004D40BD"/>
    <w:rsid w:val="004D416E"/>
    <w:rsid w:val="004E1827"/>
    <w:rsid w:val="005178A1"/>
    <w:rsid w:val="005624DC"/>
    <w:rsid w:val="00566F52"/>
    <w:rsid w:val="00573237"/>
    <w:rsid w:val="00586BBB"/>
    <w:rsid w:val="00594E99"/>
    <w:rsid w:val="00596826"/>
    <w:rsid w:val="005A75CA"/>
    <w:rsid w:val="005D2711"/>
    <w:rsid w:val="006011B5"/>
    <w:rsid w:val="006224CD"/>
    <w:rsid w:val="006524BA"/>
    <w:rsid w:val="00686AC6"/>
    <w:rsid w:val="00694A8C"/>
    <w:rsid w:val="006A6073"/>
    <w:rsid w:val="006B569E"/>
    <w:rsid w:val="006C5F75"/>
    <w:rsid w:val="006F1A34"/>
    <w:rsid w:val="0074474E"/>
    <w:rsid w:val="00747FC1"/>
    <w:rsid w:val="00775D34"/>
    <w:rsid w:val="007772B9"/>
    <w:rsid w:val="00783DD3"/>
    <w:rsid w:val="007A6F7C"/>
    <w:rsid w:val="007B6250"/>
    <w:rsid w:val="007C380F"/>
    <w:rsid w:val="007C62E4"/>
    <w:rsid w:val="007C6CD5"/>
    <w:rsid w:val="007E28EF"/>
    <w:rsid w:val="007E37F9"/>
    <w:rsid w:val="007E442C"/>
    <w:rsid w:val="007F4247"/>
    <w:rsid w:val="00805C02"/>
    <w:rsid w:val="00814CA3"/>
    <w:rsid w:val="00834AB1"/>
    <w:rsid w:val="008471FD"/>
    <w:rsid w:val="00855391"/>
    <w:rsid w:val="0085713D"/>
    <w:rsid w:val="0086477C"/>
    <w:rsid w:val="00867759"/>
    <w:rsid w:val="008717FA"/>
    <w:rsid w:val="00890033"/>
    <w:rsid w:val="008935DD"/>
    <w:rsid w:val="008A360D"/>
    <w:rsid w:val="008A514E"/>
    <w:rsid w:val="008B0843"/>
    <w:rsid w:val="008B4B14"/>
    <w:rsid w:val="008C78D4"/>
    <w:rsid w:val="008D3B32"/>
    <w:rsid w:val="008F1235"/>
    <w:rsid w:val="009125EC"/>
    <w:rsid w:val="00960AA3"/>
    <w:rsid w:val="009771E1"/>
    <w:rsid w:val="00982781"/>
    <w:rsid w:val="00994153"/>
    <w:rsid w:val="009A3F56"/>
    <w:rsid w:val="009D6E49"/>
    <w:rsid w:val="009F422F"/>
    <w:rsid w:val="00A06847"/>
    <w:rsid w:val="00A07B7C"/>
    <w:rsid w:val="00A07D02"/>
    <w:rsid w:val="00A144DC"/>
    <w:rsid w:val="00A60CCC"/>
    <w:rsid w:val="00A63847"/>
    <w:rsid w:val="00A82636"/>
    <w:rsid w:val="00A860C9"/>
    <w:rsid w:val="00AA2309"/>
    <w:rsid w:val="00AA6F53"/>
    <w:rsid w:val="00AA74B7"/>
    <w:rsid w:val="00AD1486"/>
    <w:rsid w:val="00AF4BFE"/>
    <w:rsid w:val="00B07DE0"/>
    <w:rsid w:val="00B27C1F"/>
    <w:rsid w:val="00B3679B"/>
    <w:rsid w:val="00B511B1"/>
    <w:rsid w:val="00B81116"/>
    <w:rsid w:val="00B81DAC"/>
    <w:rsid w:val="00BC522D"/>
    <w:rsid w:val="00BC69A4"/>
    <w:rsid w:val="00BC6D6D"/>
    <w:rsid w:val="00BE3FE7"/>
    <w:rsid w:val="00BE4D70"/>
    <w:rsid w:val="00BF6250"/>
    <w:rsid w:val="00C251AB"/>
    <w:rsid w:val="00C964F5"/>
    <w:rsid w:val="00CA1262"/>
    <w:rsid w:val="00CA2559"/>
    <w:rsid w:val="00CB1444"/>
    <w:rsid w:val="00CB2F39"/>
    <w:rsid w:val="00CB688C"/>
    <w:rsid w:val="00CC592C"/>
    <w:rsid w:val="00D01D9D"/>
    <w:rsid w:val="00D30F63"/>
    <w:rsid w:val="00D45CBF"/>
    <w:rsid w:val="00D47DCC"/>
    <w:rsid w:val="00D579F3"/>
    <w:rsid w:val="00D62D38"/>
    <w:rsid w:val="00D82A7B"/>
    <w:rsid w:val="00D901A9"/>
    <w:rsid w:val="00D94C3F"/>
    <w:rsid w:val="00D97442"/>
    <w:rsid w:val="00DC5879"/>
    <w:rsid w:val="00DD56FD"/>
    <w:rsid w:val="00E01A44"/>
    <w:rsid w:val="00E020DB"/>
    <w:rsid w:val="00E048EA"/>
    <w:rsid w:val="00E64E0F"/>
    <w:rsid w:val="00E67234"/>
    <w:rsid w:val="00E723A6"/>
    <w:rsid w:val="00E85A91"/>
    <w:rsid w:val="00E90782"/>
    <w:rsid w:val="00E911A5"/>
    <w:rsid w:val="00EB1C5D"/>
    <w:rsid w:val="00EB55BD"/>
    <w:rsid w:val="00ED35A6"/>
    <w:rsid w:val="00ED3D52"/>
    <w:rsid w:val="00ED50F7"/>
    <w:rsid w:val="00EE544A"/>
    <w:rsid w:val="00F01FDA"/>
    <w:rsid w:val="00F0661B"/>
    <w:rsid w:val="00F25736"/>
    <w:rsid w:val="00F268F6"/>
    <w:rsid w:val="00F27FE7"/>
    <w:rsid w:val="00F33373"/>
    <w:rsid w:val="00F47F74"/>
    <w:rsid w:val="00F52EC1"/>
    <w:rsid w:val="00F8283C"/>
    <w:rsid w:val="00F833B9"/>
    <w:rsid w:val="00FC30B0"/>
    <w:rsid w:val="00FC6346"/>
    <w:rsid w:val="00FC6640"/>
    <w:rsid w:val="00FD06E5"/>
    <w:rsid w:val="00FE4B18"/>
    <w:rsid w:val="00FE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5AE7CD"/>
  <w15:chartTrackingRefBased/>
  <w15:docId w15:val="{34D228C7-E156-44D1-AEBD-CBFF7A67C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3D3C55"/>
        <w:sz w:val="20"/>
        <w:szCs w:val="20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C02"/>
    <w:pPr>
      <w:spacing w:after="160" w:line="30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05C02"/>
    <w:pPr>
      <w:keepNext/>
      <w:keepLines/>
      <w:spacing w:before="0" w:after="200" w:line="240" w:lineRule="auto"/>
      <w:outlineLvl w:val="0"/>
    </w:pPr>
    <w:rPr>
      <w:rFonts w:asciiTheme="majorHAnsi" w:eastAsiaTheme="majorEastAsia" w:hAnsiTheme="majorHAnsi" w:cstheme="majorBidi"/>
      <w:color w:val="0B0A1F"/>
      <w:spacing w:val="-15"/>
      <w:sz w:val="60"/>
      <w:szCs w:val="60"/>
      <w:lang w:val="sv-S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5C02"/>
    <w:pPr>
      <w:keepNext/>
      <w:keepLines/>
      <w:spacing w:before="440" w:after="120" w:line="240" w:lineRule="auto"/>
      <w:outlineLvl w:val="1"/>
    </w:pPr>
    <w:rPr>
      <w:rFonts w:asciiTheme="majorHAnsi" w:eastAsiaTheme="majorEastAsia" w:hAnsiTheme="majorHAnsi" w:cstheme="majorBidi"/>
      <w:color w:val="0B0A1F"/>
      <w:spacing w:val="-8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05C02"/>
    <w:pPr>
      <w:keepNext/>
      <w:keepLines/>
      <w:spacing w:before="340" w:after="80" w:line="240" w:lineRule="auto"/>
      <w:outlineLvl w:val="2"/>
    </w:pPr>
    <w:rPr>
      <w:rFonts w:asciiTheme="majorHAnsi" w:eastAsiaTheme="majorEastAsia" w:hAnsiTheme="majorHAnsi" w:cstheme="majorBidi"/>
      <w:color w:val="0B0A1F"/>
      <w:spacing w:val="-4"/>
      <w:sz w:val="24"/>
      <w:szCs w:val="24"/>
      <w:lang w:val="sv-S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C02"/>
    <w:pPr>
      <w:keepNext/>
      <w:keepLines/>
      <w:spacing w:before="320" w:after="60" w:line="240" w:lineRule="auto"/>
      <w:outlineLvl w:val="3"/>
    </w:pPr>
    <w:rPr>
      <w:rFonts w:asciiTheme="majorHAnsi" w:eastAsiaTheme="majorEastAsia" w:hAnsiTheme="majorHAnsi" w:cstheme="majorBidi"/>
      <w:color w:val="0B0A1F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70768"/>
  </w:style>
  <w:style w:type="paragraph" w:styleId="Footer">
    <w:name w:val="footer"/>
    <w:basedOn w:val="Normal"/>
    <w:link w:val="Foot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70768"/>
  </w:style>
  <w:style w:type="table" w:styleId="TableGrid">
    <w:name w:val="Table Grid"/>
    <w:basedOn w:val="TableNormal"/>
    <w:uiPriority w:val="39"/>
    <w:rsid w:val="0027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05C02"/>
    <w:pPr>
      <w:spacing w:after="0" w:line="240" w:lineRule="auto"/>
      <w:contextualSpacing/>
    </w:pPr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C02"/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05C02"/>
    <w:rPr>
      <w:rFonts w:asciiTheme="majorHAnsi" w:eastAsiaTheme="majorEastAsia" w:hAnsiTheme="majorHAnsi" w:cstheme="majorBidi"/>
      <w:b/>
      <w:sz w:val="80"/>
      <w:szCs w:val="32"/>
      <w:lang w:val="sv-SE"/>
    </w:rPr>
  </w:style>
  <w:style w:type="character" w:styleId="Strong">
    <w:name w:val="Strong"/>
    <w:basedOn w:val="DefaultParagraphFont"/>
    <w:uiPriority w:val="22"/>
    <w:qFormat/>
    <w:rsid w:val="00805C02"/>
    <w:rPr>
      <w:rFonts w:ascii="Plus Jakarta Sans" w:hAnsi="Plus Jakarta Sans"/>
      <w:b w:val="0"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05C02"/>
    <w:rPr>
      <w:rFonts w:asciiTheme="majorHAnsi" w:eastAsiaTheme="majorEastAsia" w:hAnsiTheme="majorHAnsi" w:cstheme="majorBidi"/>
      <w:b/>
      <w:sz w:val="40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C02"/>
    <w:pPr>
      <w:numPr>
        <w:ilvl w:val="1"/>
      </w:numPr>
      <w:spacing w:after="160"/>
    </w:pPr>
    <w:rPr>
      <w:rFonts w:eastAsiaTheme="minorEastAsi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05C02"/>
    <w:rPr>
      <w:rFonts w:eastAsiaTheme="minorEastAsia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805C02"/>
    <w:pPr>
      <w:spacing w:before="200" w:after="160"/>
      <w:ind w:left="864" w:right="864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05C02"/>
    <w:rPr>
      <w:i/>
      <w:i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805C02"/>
    <w:rPr>
      <w:rFonts w:asciiTheme="majorHAnsi" w:eastAsiaTheme="majorEastAsia" w:hAnsiTheme="majorHAnsi" w:cstheme="majorBidi"/>
      <w:b/>
      <w:sz w:val="28"/>
      <w:szCs w:val="24"/>
      <w:lang w:val="sv-S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C02"/>
    <w:rPr>
      <w:rFonts w:asciiTheme="majorHAnsi" w:eastAsiaTheme="majorEastAsia" w:hAnsiTheme="majorHAnsi" w:cstheme="majorBidi"/>
      <w:i/>
      <w:iCs/>
    </w:rPr>
  </w:style>
  <w:style w:type="character" w:styleId="IntenseEmphasis">
    <w:name w:val="Intense Emphasis"/>
    <w:basedOn w:val="DefaultParagraphFont"/>
    <w:uiPriority w:val="21"/>
    <w:qFormat/>
    <w:rsid w:val="00805C02"/>
    <w:rPr>
      <w:i/>
      <w:iCs/>
      <w:color w:val="auto"/>
    </w:rPr>
  </w:style>
  <w:style w:type="paragraph" w:styleId="NoSpacing">
    <w:name w:val="No Spacing"/>
    <w:link w:val="NoSpacingChar"/>
    <w:uiPriority w:val="1"/>
    <w:qFormat/>
    <w:rsid w:val="00805C02"/>
    <w:pPr>
      <w:spacing w:after="0" w:line="240" w:lineRule="auto"/>
    </w:pPr>
    <w:rPr>
      <w:rFonts w:eastAsiaTheme="minorEastAsi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805C02"/>
    <w:rPr>
      <w:rFonts w:eastAsiaTheme="minorEastAsi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5C02"/>
    <w:pPr>
      <w:ind w:left="720"/>
      <w:contextualSpacing/>
    </w:pPr>
  </w:style>
  <w:style w:type="table" w:styleId="PlainTable4">
    <w:name w:val="Plain Table 4"/>
    <w:basedOn w:val="TableNormal"/>
    <w:uiPriority w:val="44"/>
    <w:rsid w:val="00D974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180C0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0751C"/>
    <w:rPr>
      <w:color w:val="4737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751C"/>
    <w:rPr>
      <w:color w:val="605E5C"/>
      <w:shd w:val="clear" w:color="auto" w:fill="E1DFDD"/>
    </w:rPr>
  </w:style>
  <w:style w:type="paragraph" w:customStyle="1" w:styleId="Lead">
    <w:name w:val="Lead"/>
    <w:basedOn w:val="Normal"/>
    <w:next w:val="Normal"/>
    <w:qFormat/>
    <w:pPr>
      <w:spacing w:after="320" w:line="288" w:lineRule="auto"/>
    </w:pPr>
    <w:rPr>
      <w:color w:val="5B5A70"/>
      <w:sz w:val="24"/>
      <w:szCs w:val="24"/>
    </w:rPr>
  </w:style>
  <w:style w:type="table" w:customStyle="1" w:styleId="RATable">
    <w:name w:val="RA Table"/>
    <w:basedOn w:val="TableNormal"/>
    <w:uiPriority w:val="40"/>
    <w:qFormat/>
    <w:pPr>
      <w:spacing w:after="0" w:line="264" w:lineRule="auto"/>
    </w:pPr>
    <w:rPr>
      <w:sz w:val="18"/>
      <w:szCs w:val="18"/>
    </w:rPr>
    <w:tblPr>
      <w:tblStyleRowBandSize w:val="1"/>
      <w:tblBorders>
        <w:bottom w:val="single" w:sz="6" w:space="0" w:color="E7E6F0"/>
        <w:insideH w:val="single" w:sz="6" w:space="0" w:color="E7E6F0"/>
      </w:tblBorders>
      <w:tblCellMar>
        <w:top w:w="108" w:type="dxa"/>
        <w:left w:w="119" w:type="dxa"/>
        <w:bottom w:w="108" w:type="dxa"/>
        <w:right w:w="119" w:type="dxa"/>
      </w:tblCellMar>
    </w:tblPr>
    <w:tcPr>
      <w:vAlign w:val="top"/>
    </w:tcPr>
    <w:tblStylePr w:type="firstRow">
      <w:pPr>
        <w:spacing w:line="240" w:lineRule="auto"/>
      </w:pPr>
      <w:rPr>
        <w:rFonts w:ascii="Plus Jakarta Sans SemiBold" w:hAnsi="Plus Jakarta Sans SemiBold"/>
        <w:caps/>
        <w:color w:val="FFFFFF"/>
        <w:spacing w:val="12"/>
        <w:sz w:val="15"/>
        <w:szCs w:val="15"/>
      </w:rPr>
      <w:tblPr/>
      <w:trPr>
        <w:tblHeader/>
      </w:trPr>
      <w:tcPr>
        <w:tcBorders>
          <w:bottom w:val="single" w:sz="16" w:space="0" w:color="4737FF"/>
        </w:tcBorders>
        <w:shd w:val="clear" w:color="auto" w:fill="0B0A1F"/>
        <w:vAlign w:val="bottom"/>
      </w:tcPr>
    </w:tblStylePr>
    <w:tblStylePr w:type="firstCol">
      <w:rPr>
        <w:rFonts w:ascii="Plus Jakarta Sans SemiBold" w:hAnsi="Plus Jakarta Sans SemiBold"/>
        <w:color w:val="0B0A1F"/>
      </w:rPr>
    </w:tblStylePr>
    <w:tblStylePr w:type="band2Horz">
      <w:tblPr/>
      <w:tcPr>
        <w:shd w:val="clear" w:color="auto" w:fill="F8F7F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5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001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82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22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487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36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23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50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79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66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579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49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64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4" Type="http://schemas.openxmlformats.org/officeDocument/2006/relationships/settings" Target="settings.xml"/><Relationship Id="rId14" Type="http://schemas.openxmlformats.org/officeDocument/2006/relationships/footer" Target="footer2.xml"/><Relationship Id="rIdCoverWeb" Type="http://schemas.openxmlformats.org/officeDocument/2006/relationships/image" Target="media/cover-web.jpg"/><Relationship Id="rId19" Type="http://schemas.openxmlformats.org/officeDocument/2006/relationships/image" Target="media/09633219e6e6d40ec0b7593eaf96dc204b0fed99.png"/><Relationship Id="rId20" Type="http://schemas.openxmlformats.org/officeDocument/2006/relationships/image" Target="media/906d042bda7f50536ae3e8565d01c820424636d1.png"/><Relationship Id="rId21" Type="http://schemas.openxmlformats.org/officeDocument/2006/relationships/image" Target="media/56f4ffd47e284663b6643cf52cdc33a49e4b4fc4.png"/><Relationship Id="rId22" Type="http://schemas.openxmlformats.org/officeDocument/2006/relationships/image" Target="media/3c4f116b2e8c10a668bd4f94ca465cb131585e32.png"/><Relationship Id="rId23" Type="http://schemas.openxmlformats.org/officeDocument/2006/relationships/image" Target="media/b000dbc25efd6adc4fb2341f378b210b402769ab.png"/><Relationship Id="rId24" Type="http://schemas.openxmlformats.org/officeDocument/2006/relationships/image" Target="media/0566f1d61d82aa5eec58fb8e2f0ef32e4e680dc0.png"/><Relationship Id="rIdmtpukqegx26_e-hyqkd5e" Type="http://schemas.openxmlformats.org/officeDocument/2006/relationships/hyperlink" Target="https://www.researchautomators.com/guides/conditions/" TargetMode="External"/></Relationships>
</file>

<file path=word/_rels/fontTable.xml.rels><?xml version="1.0" encoding="UTF-8" standalone="yes"?>
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Relationship Id="rIdFont4" Type="http://schemas.openxmlformats.org/officeDocument/2006/relationships/font" Target="fonts/font4.odttf"/><Relationship Id="rIdFont5" Type="http://schemas.openxmlformats.org/officeDocument/2006/relationships/font" Target="fonts/font5.odttf"/></Relationships>
</file>

<file path=word/_rels/header2.xml.rels><?xml version="1.0" encoding="UTF-8" standalone="yes"?>
<Relationships xmlns="http://schemas.openxmlformats.org/package/2006/relationships"><Relationship Id="rIdLogo" Type="http://schemas.openxmlformats.org/officeDocument/2006/relationships/image" Target="media/logo-header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Plus Jakarta Sans SemiBold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lus Jakarta Sans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8B0EF-B073-4474-B1C1-0622D2842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Offert Datainsamling &amp; projektportal</vt:lpstr>
      <vt:lpstr>Offert Datainsamling &amp; projektportal</vt:lpstr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Conditions</dc:title>
  <dc:subject>Lorem ipsum dolor sit amet, consectetur adipiscing elit.</dc:subject>
  <dc:creator>Emil</dc:creator>
  <cp:keywords/>
  <dc:description/>
  <cp:lastModifiedBy>Dan-Martin Hellgren</cp:lastModifiedBy>
  <cp:revision>15</cp:revision>
  <cp:lastPrinted>2025-11-07T16:11:00Z</cp:lastPrinted>
  <dcterms:created xsi:type="dcterms:W3CDTF">2024-09-26T11:38:00Z</dcterms:created>
  <dcterms:modified xsi:type="dcterms:W3CDTF">2026-10-28T13:32:00Z</dcterms:modified>
</cp:coreProperties>
</file>