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How to Build a Reusable Product Evaluation Survey</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7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How to Build a Reusable Product Evaluation Survey</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Survey</w:t>
      </w:r>
    </w:p>
    <w:p>
      <w:pPr>
        <w:pStyle w:val="Lead"/>
        <w:keepNext w:val="false"/>
      </w:pPr>
      <w:r>
        <w:t xml:space="preserve">Demo project: </w:t>
      </w:r>
      <w:hyperlink w:history="1" w:anchor="/23947/Survey" r:id="rIdue32yd_rldqznqqnlrbku">
        <w:r>
          <w:rPr>
            <w:rStyle w:val="Hyperlink"/>
          </w:rPr>
          <w:t xml:space="preserve">https://app.researchautomators.com/#/23947/Survey</w:t>
        </w:r>
      </w:hyperlink>
    </w:p>
    <w:p>
      <w:pPr>
        <w:keepNext w:val="false"/>
      </w:pPr>
      <w:r>
        <w:t xml:space="preserve">This guide explains how to build a single product evaluation survey that can be reused across multiple products — in this case, energy drink brands and flavors. The key mechanism is a hidden ProductID field that is pre-filled via a URL parameter when distributing the survey. Based on that value, dynamic bookmarks automatically display the correct brand name and flavor throughout the survey, so each respondent sees questions tailored to their assigned product without requiring separate surveys.</w:t>
      </w:r>
    </w:p>
    <w:p>
      <w:pPr>
        <w:pStyle w:val="Heading4"/>
        <w:keepNext/>
      </w:pPr>
      <w:r>
        <w:t xml:space="preserve">Step 1.</w:t>
      </w:r>
    </w:p>
    <w:p>
      <w:pPr>
        <w:keepNext/>
      </w:pPr>
      <w:r>
        <w:t xml:space="preserve">Create an </w:t>
      </w:r>
      <w:r>
        <w:rPr>
          <w:b/>
          <w:bCs/>
        </w:rPr>
        <w:t xml:space="preserve">Open Comment</w:t>
      </w:r>
      <w:r>
        <w:t xml:space="preserve"> question. Name it </w:t>
      </w:r>
      <w:r>
        <w:rPr>
          <w:b/>
          <w:bCs/>
        </w:rPr>
        <w:t xml:space="preserve">ProductID</w:t>
      </w:r>
      <w:r>
        <w:t xml:space="preserve"> and give it the same ID. This question acts as the carrier for the product code (T01, T02, T03 etc.) that will drive all the dynamic </w:t>
      </w:r>
      <w:r>
        <w:rPr>
          <w:b/>
          <w:bCs/>
        </w:rPr>
        <w:t xml:space="preserve">Bookmarks</w:t>
      </w:r>
      <w:r>
        <w:t xml:space="preserve"> later in the survey.</w:t>
      </w:r>
    </w:p>
    <w:p>
      <w:pPr>
        <w:keepNext w:val="false"/>
      </w:pPr>
      <w:r>
        <w:drawing>
          <wp:inline distT="0" distB="0" distL="0" distR="0">
            <wp:extent cx="5334000" cy="2162175"/>
            <wp:effectExtent t="0" r="0" b="0" l="0"/>
            <wp:docPr id="74"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162175"/>
                    </a:xfrm>
                    <a:prstGeom prst="rect">
                      <a:avLst/>
                    </a:prstGeom>
                  </pic:spPr>
                </pic:pic>
              </a:graphicData>
            </a:graphic>
          </wp:inline>
        </w:drawing>
      </w:r>
    </w:p>
    <w:p>
      <w:pPr>
        <w:keepNext w:val="false"/>
      </w:pPr>
      <w:r>
        <w:t xml:space="preserve">Step 2.</w:t>
      </w:r>
    </w:p>
    <w:p>
      <w:pPr>
        <w:keepNext w:val="false"/>
      </w:pPr>
      <w:r>
        <w:t xml:space="preserve">Create a </w:t>
      </w:r>
      <w:r>
        <w:rPr>
          <w:b/>
          <w:bCs/>
        </w:rPr>
        <w:t xml:space="preserve">Single Select</w:t>
      </w:r>
      <w:r>
        <w:t xml:space="preserve"> question. In this example, we will name it </w:t>
      </w:r>
      <w:r>
        <w:rPr>
          <w:b/>
          <w:bCs/>
        </w:rPr>
        <w:t xml:space="preserve">Brand</w:t>
      </w:r>
      <w:r>
        <w:t xml:space="preserve">, same goes for the ID.</w:t>
      </w:r>
    </w:p>
    <w:p>
      <w:pPr>
        <w:keepNext/>
      </w:pPr>
      <w:r>
        <w:t xml:space="preserve">Enter all the answer alternatives → </w:t>
      </w:r>
      <w:r>
        <w:rPr>
          <w:b/>
          <w:bCs/>
        </w:rPr>
        <w:t xml:space="preserve">Settings</w:t>
      </w:r>
      <w:r>
        <w:t xml:space="preserve"> → </w:t>
      </w:r>
      <w:r>
        <w:rPr>
          <w:b/>
          <w:bCs/>
        </w:rPr>
        <w:t xml:space="preserve">Answer block</w:t>
      </w:r>
      <w:r>
        <w:t xml:space="preserve"> → </w:t>
      </w:r>
      <w:r>
        <w:rPr>
          <w:b/>
          <w:bCs/>
        </w:rPr>
        <w:t xml:space="preserve">Create new</w:t>
      </w:r>
      <w:r>
        <w:t xml:space="preserve">, and name the answer block (e.g. "Product").</w:t>
      </w:r>
    </w:p>
    <w:p>
      <w:pPr>
        <w:keepNext w:val="false"/>
      </w:pPr>
      <w:r>
        <w:drawing>
          <wp:inline distT="0" distB="0" distL="0" distR="0">
            <wp:extent cx="5334000" cy="3219450"/>
            <wp:effectExtent t="0" r="0" b="0" l="0"/>
            <wp:docPr id="75"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0" cy="3219450"/>
                    </a:xfrm>
                    <a:prstGeom prst="rect">
                      <a:avLst/>
                    </a:prstGeom>
                  </pic:spPr>
                </pic:pic>
              </a:graphicData>
            </a:graphic>
          </wp:inline>
        </w:drawing>
      </w:r>
    </w:p>
    <w:p>
      <w:pPr>
        <w:pStyle w:val="Heading4"/>
        <w:keepNext/>
      </w:pPr>
      <w:r>
        <w:t xml:space="preserve">Step 3.</w:t>
      </w:r>
    </w:p>
    <w:p>
      <w:pPr>
        <w:keepNext w:val="false"/>
      </w:pPr>
      <w:r>
        <w:t xml:space="preserve">For each answer alternative in the Brand question, you need to assign a T-code via the </w:t>
      </w:r>
      <w:r>
        <w:rPr>
          <w:b/>
          <w:bCs/>
        </w:rPr>
        <w:t xml:space="preserve">Popup</w:t>
      </w:r>
      <w:r>
        <w:t xml:space="preserve"> </w:t>
      </w:r>
      <w:r>
        <w:rPr>
          <w:b/>
          <w:bCs/>
        </w:rPr>
        <w:t xml:space="preserve">text</w:t>
      </w:r>
      <w:r>
        <w:t xml:space="preserve"> field. This is what links each answer option to a specific product code.</w:t>
      </w:r>
    </w:p>
    <w:p>
      <w:pPr>
        <w:keepNext w:val="false"/>
      </w:pPr>
      <w:r>
        <w:t xml:space="preserve">For the first alternative: click the answer's settings → </w:t>
      </w:r>
      <w:r>
        <w:rPr>
          <w:b/>
          <w:bCs/>
        </w:rPr>
        <w:t xml:space="preserve">Edit texts</w:t>
      </w:r>
      <w:r>
        <w:t xml:space="preserve"> → </w:t>
      </w:r>
      <w:r>
        <w:rPr>
          <w:b/>
          <w:bCs/>
        </w:rPr>
        <w:t xml:space="preserve">Add texts</w:t>
      </w:r>
      <w:r>
        <w:t xml:space="preserve"> → </w:t>
      </w:r>
      <w:r>
        <w:rPr>
          <w:b/>
          <w:bCs/>
        </w:rPr>
        <w:t xml:space="preserve">Popup text</w:t>
      </w:r>
      <w:r>
        <w:t xml:space="preserve"> → enter </w:t>
      </w:r>
      <w:r>
        <w:rPr>
          <w:b/>
          <w:bCs/>
        </w:rPr>
        <w:t xml:space="preserve">T01</w:t>
      </w:r>
      <w:r>
        <w:t xml:space="preserve">.</w:t>
      </w:r>
    </w:p>
    <w:p>
      <w:pPr>
        <w:keepNext/>
      </w:pPr>
      <w:r>
        <w:t xml:space="preserve">Repeat for each subsequent alternative in ascending order: T02, T03, T04, and so on.</w:t>
      </w:r>
    </w:p>
    <w:p>
      <w:pPr>
        <w:keepNext w:val="false"/>
      </w:pPr>
      <w:r>
        <w:drawing>
          <wp:inline distT="0" distB="0" distL="0" distR="0">
            <wp:extent cx="5334000" cy="6324600"/>
            <wp:effectExtent t="0" r="0" b="0" l="0"/>
            <wp:docPr id="76"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6324600"/>
                    </a:xfrm>
                    <a:prstGeom prst="rect">
                      <a:avLst/>
                    </a:prstGeom>
                  </pic:spPr>
                </pic:pic>
              </a:graphicData>
            </a:graphic>
          </wp:inline>
        </w:drawing>
      </w:r>
    </w:p>
    <w:p>
      <w:pPr>
        <w:pStyle w:val="Heading4"/>
        <w:keepNext/>
      </w:pPr>
      <w:r>
        <w:t xml:space="preserve">Step 4.</w:t>
      </w:r>
    </w:p>
    <w:p>
      <w:pPr>
        <w:keepNext w:val="false"/>
      </w:pPr>
      <w:r>
        <w:t xml:space="preserve">Open the Brand question's </w:t>
      </w:r>
      <w:r>
        <w:rPr>
          <w:b/>
          <w:bCs/>
        </w:rPr>
        <w:t xml:space="preserve">settings</w:t>
      </w:r>
      <w:r>
        <w:t xml:space="preserve"> → </w:t>
      </w:r>
      <w:r>
        <w:rPr>
          <w:b/>
          <w:bCs/>
        </w:rPr>
        <w:t xml:space="preserve">Coded open ends</w:t>
      </w:r>
      <w:r>
        <w:t xml:space="preserve"> → select the ProductID question created in Step 1 (in this example: Q51 ProductID).</w:t>
      </w:r>
    </w:p>
    <w:p>
      <w:pPr>
        <w:keepNext/>
      </w:pPr>
      <w:r>
        <w:t xml:space="preserve">This connection means that when the survey detects a T-code in the ProductID field, it will automatically select the matching Brand answer, the one whose Popup text matches that code.</w:t>
      </w:r>
    </w:p>
    <w:p>
      <w:pPr>
        <w:keepNext w:val="false"/>
      </w:pPr>
      <w:r>
        <w:drawing>
          <wp:inline distT="0" distB="0" distL="0" distR="0">
            <wp:extent cx="5334000" cy="5248275"/>
            <wp:effectExtent t="0" r="0" b="0" l="0"/>
            <wp:docPr id="77"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334000" cy="5248275"/>
                    </a:xfrm>
                    <a:prstGeom prst="rect">
                      <a:avLst/>
                    </a:prstGeom>
                  </pic:spPr>
                </pic:pic>
              </a:graphicData>
            </a:graphic>
          </wp:inline>
        </w:drawing>
      </w:r>
    </w:p>
    <w:p>
      <w:pPr>
        <w:pStyle w:val="Heading4"/>
        <w:keepNext/>
      </w:pPr>
      <w:r>
        <w:t xml:space="preserve">Step 5.</w:t>
      </w:r>
    </w:p>
    <w:p>
      <w:pPr>
        <w:keepNext w:val="false"/>
      </w:pPr>
      <w:r>
        <w:t xml:space="preserve">Create a new Single Select question named </w:t>
      </w:r>
      <w:r>
        <w:rPr>
          <w:b/>
          <w:bCs/>
        </w:rPr>
        <w:t xml:space="preserve">Flavor</w:t>
      </w:r>
      <w:r>
        <w:t xml:space="preserve">. Repeat the same setup as the Brand question: add all flavor alternatives, create an </w:t>
      </w:r>
      <w:r>
        <w:rPr>
          <w:b/>
          <w:bCs/>
        </w:rPr>
        <w:t xml:space="preserve">answer block</w:t>
      </w:r>
      <w:r>
        <w:t xml:space="preserve">, and activate </w:t>
      </w:r>
      <w:r>
        <w:rPr>
          <w:b/>
          <w:bCs/>
        </w:rPr>
        <w:t xml:space="preserve">Coded open ends</w:t>
      </w:r>
      <w:r>
        <w:t xml:space="preserve"> pointing to the same ProductID question.</w:t>
      </w:r>
    </w:p>
    <w:p>
      <w:pPr>
        <w:keepNext/>
      </w:pPr>
      <w:r>
        <w:t xml:space="preserve">Importantly, the </w:t>
      </w:r>
      <w:r>
        <w:rPr>
          <w:b/>
          <w:bCs/>
        </w:rPr>
        <w:t xml:space="preserve">Popup text</w:t>
      </w:r>
      <w:r>
        <w:t xml:space="preserve"> codes must use the same T-values as the Brand question: T01, T02, T03, T04, so that a single ProductID code selects both the correct brand and its corresponding flavor simultaneously.</w:t>
      </w:r>
    </w:p>
    <w:p>
      <w:pPr>
        <w:keepNext w:val="false"/>
      </w:pPr>
      <w:r>
        <w:drawing>
          <wp:inline distT="0" distB="0" distL="0" distR="0">
            <wp:extent cx="5334000" cy="6343650"/>
            <wp:effectExtent t="0" r="0" b="0" l="0"/>
            <wp:docPr id="78"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334000" cy="6343650"/>
                    </a:xfrm>
                    <a:prstGeom prst="rect">
                      <a:avLst/>
                    </a:prstGeom>
                  </pic:spPr>
                </pic:pic>
              </a:graphicData>
            </a:graphic>
          </wp:inline>
        </w:drawing>
      </w:r>
    </w:p>
    <w:p>
      <w:pPr>
        <w:pStyle w:val="Heading4"/>
        <w:keepNext/>
      </w:pPr>
      <w:r>
        <w:t xml:space="preserve">Step 6.</w:t>
      </w:r>
    </w:p>
    <w:p>
      <w:pPr>
        <w:keepNext/>
      </w:pPr>
      <w:r>
        <w:t xml:space="preserve">Create a Header block and write your introductory text. Use a </w:t>
      </w:r>
      <w:r>
        <w:rPr>
          <w:b/>
          <w:bCs/>
        </w:rPr>
        <w:t xml:space="preserve">Bookmark</w:t>
      </w:r>
      <w:r>
        <w:t xml:space="preserve"> in the header that references the Brand question, so the respondent's brand name is displayed dynamically (e.g. "</w:t>
      </w:r>
      <w:r>
        <w:rPr>
          <w:i/>
          <w:iCs/>
        </w:rPr>
        <w:t xml:space="preserve">About your favorite {Brand}</w:t>
      </w:r>
      <w:r>
        <w:t xml:space="preserve">"). Add a </w:t>
      </w:r>
      <w:r>
        <w:rPr>
          <w:b/>
          <w:bCs/>
        </w:rPr>
        <w:t xml:space="preserve">page break</w:t>
      </w:r>
      <w:r>
        <w:t xml:space="preserve"> between the Header block and the Brand question.</w:t>
      </w:r>
    </w:p>
    <w:p>
      <w:pPr>
        <w:keepNext w:val="false"/>
      </w:pPr>
      <w:r>
        <w:drawing>
          <wp:inline distT="0" distB="0" distL="0" distR="0">
            <wp:extent cx="5334000" cy="2971800"/>
            <wp:effectExtent t="0" r="0" b="0" l="0"/>
            <wp:docPr id="79"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334000" cy="2971800"/>
                    </a:xfrm>
                    <a:prstGeom prst="rect">
                      <a:avLst/>
                    </a:prstGeom>
                  </pic:spPr>
                </pic:pic>
              </a:graphicData>
            </a:graphic>
          </wp:inline>
        </w:drawing>
      </w:r>
    </w:p>
    <w:p>
      <w:pPr>
        <w:pStyle w:val="Heading4"/>
        <w:keepNext/>
      </w:pPr>
      <w:r>
        <w:t xml:space="preserve">Step 7.</w:t>
      </w:r>
    </w:p>
    <w:p>
      <w:pPr>
        <w:keepNext/>
      </w:pPr>
      <w:r>
        <w:t xml:space="preserve">Create a question where the respondent rates the flavor. Add a </w:t>
      </w:r>
      <w:r>
        <w:rPr>
          <w:b/>
          <w:bCs/>
        </w:rPr>
        <w:t xml:space="preserve">Bookmark</w:t>
      </w:r>
      <w:r>
        <w:t xml:space="preserve"> in the question text that references the Flavor question's Coded open ends output, so the question reads dynamically (e.g. "</w:t>
      </w:r>
      <w:r>
        <w:rPr>
          <w:i/>
          <w:iCs/>
        </w:rPr>
        <w:t xml:space="preserve">How much do you like {Flavor}?</w:t>
      </w:r>
      <w:r>
        <w:t xml:space="preserve">").</w:t>
      </w:r>
    </w:p>
    <w:p>
      <w:pPr>
        <w:keepNext w:val="false"/>
      </w:pPr>
      <w:r>
        <w:drawing>
          <wp:inline distT="0" distB="0" distL="0" distR="0">
            <wp:extent cx="5334000" cy="2124075"/>
            <wp:effectExtent t="0" r="0" b="0" l="0"/>
            <wp:docPr id="80"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334000" cy="2124075"/>
                    </a:xfrm>
                    <a:prstGeom prst="rect">
                      <a:avLst/>
                    </a:prstGeom>
                  </pic:spPr>
                </pic:pic>
              </a:graphicData>
            </a:graphic>
          </wp:inline>
        </w:drawing>
      </w:r>
    </w:p>
    <w:p>
      <w:pPr>
        <w:pStyle w:val="Heading4"/>
        <w:keepNext/>
      </w:pPr>
      <w:r>
        <w:t xml:space="preserve">Step 8.</w:t>
      </w:r>
    </w:p>
    <w:p>
      <w:pPr>
        <w:keepNext/>
      </w:pPr>
      <w:r>
        <w:t xml:space="preserve">Before distributing, verify the bookmark logic works correctly. Open the survey and manually enter </w:t>
      </w:r>
      <w:r>
        <w:rPr>
          <w:b/>
          <w:bCs/>
        </w:rPr>
        <w:t xml:space="preserve">T01</w:t>
      </w:r>
      <w:r>
        <w:t xml:space="preserve"> in the ProductID field. On the following page, the Brand and Flavor bookmarks should resolve to the first entries in their respective answer blocks — in this example, </w:t>
      </w:r>
      <w:r>
        <w:rPr>
          <w:i/>
          <w:iCs/>
        </w:rPr>
        <w:t xml:space="preserve">Monster</w:t>
      </w:r>
      <w:r>
        <w:t xml:space="preserve"> and </w:t>
      </w:r>
      <w:r>
        <w:rPr>
          <w:i/>
          <w:iCs/>
        </w:rPr>
        <w:t xml:space="preserve">Ultra White</w:t>
      </w:r>
      <w:r>
        <w:t xml:space="preserve">.</w:t>
      </w:r>
    </w:p>
    <w:p>
      <w:pPr>
        <w:keepNext/>
      </w:pPr>
      <w:r>
        <w:drawing>
          <wp:inline distT="0" distB="0" distL="0" distR="0">
            <wp:extent cx="5334000" cy="4772025"/>
            <wp:effectExtent t="0" r="0" b="0" l="0"/>
            <wp:docPr id="81"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334000" cy="4772025"/>
                    </a:xfrm>
                    <a:prstGeom prst="rect">
                      <a:avLst/>
                    </a:prstGeom>
                  </pic:spPr>
                </pic:pic>
              </a:graphicData>
            </a:graphic>
          </wp:inline>
        </w:drawing>
      </w:r>
    </w:p>
    <w:p>
      <w:pPr>
        <w:keepNext w:val="false"/>
      </w:pPr>
      <w:r>
        <w:drawing>
          <wp:inline distT="0" distB="0" distL="0" distR="0">
            <wp:extent cx="5334000" cy="3829050"/>
            <wp:effectExtent t="0" r="0" b="0" l="0"/>
            <wp:docPr id="82" name="Screenshot" descr="Screenshot" title="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334000" cy="3829050"/>
                    </a:xfrm>
                    <a:prstGeom prst="rect">
                      <a:avLst/>
                    </a:prstGeom>
                  </pic:spPr>
                </pic:pic>
              </a:graphicData>
            </a:graphic>
          </wp:inline>
        </w:drawing>
      </w:r>
    </w:p>
    <w:p>
      <w:pPr>
        <w:pStyle w:val="Heading4"/>
        <w:keepNext/>
      </w:pPr>
      <w:r>
        <w:t xml:space="preserve">Step 9.</w:t>
      </w:r>
    </w:p>
    <w:p>
      <w:pPr>
        <w:keepNext w:val="false"/>
      </w:pPr>
      <w:r>
        <w:t xml:space="preserve">When distributing, enable panel links for the project. The base panel link in this project will look like this:</w:t>
      </w:r>
    </w:p>
    <w:p>
      <w:pPr>
        <w:keepNext w:val="false"/>
      </w:pPr>
      <w:r>
        <w:rPr>
          <w:rFonts w:ascii="Consolas" w:cs="Consolas" w:eastAsia="Consolas" w:hAnsi="Consolas"/>
          <w:sz w:val="18"/>
          <w:szCs w:val="18"/>
          <w:shd w:fill="F6F5FB" w:val="clear"/>
        </w:rPr>
        <w:t xml:space="preserve">https://svar.researchautomators.se/?122200824start&amp;XQID=[ID]&amp;XQLANG=m</w:t>
      </w:r>
    </w:p>
    <w:p>
      <w:pPr>
        <w:keepNext w:val="false"/>
      </w:pPr>
      <w:r>
        <w:t xml:space="preserve">To pre-assign a specific product to a respondent, append the ProductID parameter to the end of the URL:</w:t>
      </w:r>
    </w:p>
    <w:p>
      <w:pPr>
        <w:keepNext w:val="false"/>
      </w:pPr>
      <w:r>
        <w:rPr>
          <w:rFonts w:ascii="Consolas" w:cs="Consolas" w:eastAsia="Consolas" w:hAnsi="Consolas"/>
          <w:sz w:val="18"/>
          <w:szCs w:val="18"/>
          <w:shd w:fill="F6F5FB" w:val="clear"/>
        </w:rPr>
        <w:t xml:space="preserve">https://svar.researchautomators.se/?122200824start&amp;XQID=[ID]&amp;XQLANG=m&amp;Q51=T01</w:t>
      </w:r>
    </w:p>
    <w:p>
      <w:r>
        <w:t xml:space="preserve">Each T-code maps to a different brand/flavor combination. Send the appropriate link to each respondent group, there is no need to create separate surveys per product.</w:t>
      </w:r>
    </w:p>
    <w:p>
      <w:pPr>
        <w:pBdr>
          <w:top w:val="single" w:color="E7E6F0" w:sz="4" w:space="8"/>
        </w:pBdr>
        <w:spacing w:before="480"/>
      </w:pPr>
      <w:r>
        <w:rPr>
          <w:color w:val="5B5A70"/>
          <w:sz w:val="17"/>
          <w:szCs w:val="17"/>
        </w:rPr>
        <w:t xml:space="preserve">The latest version of this guide: </w:t>
      </w:r>
      <w:hyperlink w:history="1" r:id="rId43uajx_hl0mblcg4uqgnd">
        <w:r>
          <w:rPr>
            <w:rStyle w:val="Hyperlink"/>
            <w:sz w:val="17"/>
            <w:szCs w:val="17"/>
          </w:rPr>
          <w:t xml:space="preserve">https://www.researchautomators.com/guides/reusable-product-evaluation-survey/</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How to Build a Reusable Product Evaluation Survey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20" Type="http://schemas.openxmlformats.org/officeDocument/2006/relationships/image" Target="media/fdd5b1fa1d1810c79bf47c6cc9dff86458eb91d7.png"/><Relationship Id="rId21" Type="http://schemas.openxmlformats.org/officeDocument/2006/relationships/image" Target="media/d1bf48187f6a55ffdad6ee59c04f05c8d79f0e18.png"/><Relationship Id="rId22" Type="http://schemas.openxmlformats.org/officeDocument/2006/relationships/image" Target="media/a7a0573aeb8f72de664ba2aa4d2760d5d84531b5.png"/><Relationship Id="rId23" Type="http://schemas.openxmlformats.org/officeDocument/2006/relationships/image" Target="media/004d5885cefc032f7263cd4686e1207fc73aeaba.png"/><Relationship Id="rId24" Type="http://schemas.openxmlformats.org/officeDocument/2006/relationships/image" Target="media/63593a5a4191b5542f6b19aff26a69c80c6cd52c.png"/><Relationship Id="rId25" Type="http://schemas.openxmlformats.org/officeDocument/2006/relationships/image" Target="media/08593e5d2cf15647f3d330fe3a21cc233ce50a07.png"/><Relationship Id="rId26" Type="http://schemas.openxmlformats.org/officeDocument/2006/relationships/image" Target="media/2e816ac294149387d441a25e98769f9ea488c2a7.png"/><Relationship Id="rId27" Type="http://schemas.openxmlformats.org/officeDocument/2006/relationships/image" Target="media/3b852fd37f318dfff405e691c4cdc5edabd42e74.png"/><Relationship Id="rId28" Type="http://schemas.openxmlformats.org/officeDocument/2006/relationships/image" Target="media/8f4039804150930d100faa0fc4115e94e0b707af.png"/><Relationship Id="rIdue32yd_rldqznqqnlrbku" Type="http://schemas.openxmlformats.org/officeDocument/2006/relationships/hyperlink" Target="https://app.researchautomators.com/" TargetMode="External"/><Relationship Id="rId43uajx_hl0mblcg4uqgnd" Type="http://schemas.openxmlformats.org/officeDocument/2006/relationships/hyperlink" Target="https://www.researchautomators.com/guides/reusable-product-evaluation-survey/"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Build a Reusable Product Evaluation Survey</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